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01969" w14:textId="77777777" w:rsidR="00A5676C" w:rsidRDefault="00000000">
      <w:pPr>
        <w:spacing w:after="200"/>
        <w:jc w:val="center"/>
      </w:pPr>
      <w:r>
        <w:rPr>
          <w:b/>
          <w:bCs/>
          <w:sz w:val="28"/>
          <w:szCs w:val="28"/>
        </w:rPr>
        <w:t>Effect of Index Design on Query Latency, Storage Overhead, and Write Throughput in SQLite: An Empirical Benchmark</w:t>
      </w:r>
    </w:p>
    <w:p w14:paraId="776B8E48" w14:textId="1D0C3BBA" w:rsidR="00A5676C" w:rsidRDefault="00130CAE">
      <w:pPr>
        <w:spacing w:after="40" w:line="276" w:lineRule="auto"/>
        <w:jc w:val="center"/>
      </w:pPr>
      <w:r>
        <w:rPr>
          <w:b/>
          <w:bCs/>
        </w:rPr>
        <w:t>Agus Andri Putra, ST.</w:t>
      </w:r>
      <w:r w:rsidR="00000000">
        <w:t>1</w:t>
      </w:r>
    </w:p>
    <w:p w14:paraId="743E68BF" w14:textId="77777777" w:rsidR="00A5676C" w:rsidRDefault="00000000">
      <w:pPr>
        <w:spacing w:after="40" w:line="276" w:lineRule="auto"/>
        <w:jc w:val="center"/>
      </w:pPr>
      <w:r>
        <w:rPr>
          <w:sz w:val="20"/>
          <w:szCs w:val="20"/>
        </w:rPr>
        <w:t>1[Department, Institution, City, Country]</w:t>
      </w:r>
    </w:p>
    <w:p w14:paraId="19456CB0" w14:textId="77777777" w:rsidR="00A5676C" w:rsidRDefault="00000000">
      <w:pPr>
        <w:spacing w:after="200" w:line="276" w:lineRule="auto"/>
        <w:jc w:val="center"/>
      </w:pPr>
      <w:r>
        <w:rPr>
          <w:sz w:val="20"/>
          <w:szCs w:val="20"/>
        </w:rPr>
        <w:t>Corresponding author: [e-mail address]</w:t>
      </w:r>
    </w:p>
    <w:p w14:paraId="176754D0" w14:textId="77777777" w:rsidR="00A5676C" w:rsidRDefault="00000000">
      <w:pPr>
        <w:pStyle w:val="Heading1"/>
        <w:keepNext/>
      </w:pPr>
      <w:r>
        <w:t>Abstract</w:t>
      </w:r>
    </w:p>
    <w:p w14:paraId="722D5DDE" w14:textId="77777777" w:rsidR="00A5676C" w:rsidRDefault="00000000">
      <w:pPr>
        <w:spacing w:after="120" w:line="276" w:lineRule="auto"/>
        <w:jc w:val="both"/>
      </w:pPr>
      <w:r>
        <w:t>Secondary indexes are the main tool for speeding up relational queries, but every index also costs storage and slows down writes. This study measures that trade-off in SQLite 3.45.1 using a synthetic orders table of 10,000, 100,000, and 1,000,000 rows. Three index configurations were compared (no secondary index, single-column indexes, and composite or covering indexes) across five query types: point lookup, range aggregation, multi-predicate filtering, a join with grouping, and a top-k query. Without secondary indexes every query was a full table scan, and latency grew roughly in proportion to table size; at one million rows the point lookup took 46.1 ms. Single-column indexes cut this to 0.04 ms, a speedup of about 1,155 times, yet they improved the 30-day range aggregation by only 1.3 times. Composite and covering indexes improved the same query by 26.6 times and the multi-predicate query by 127 times. The join query gained 3.6 to 4.1 times under both indexed configurations. These gains came at a price: at one million rows the database grew from 34.0 MB to 71.9 MB and 95.7 MB, and sustained insert throughput fell from about 673,000 rows/s to 34,000 and 17,000 rows/s. The results show that index benefit depends on how well an index matches a query's predicates and projected columns, not merely on whether an index exists, and that write-heavy workloads need to weigh these costs carefully.</w:t>
      </w:r>
    </w:p>
    <w:p w14:paraId="5176F13A" w14:textId="77777777" w:rsidR="00A5676C" w:rsidRDefault="00000000">
      <w:pPr>
        <w:spacing w:after="200" w:line="276" w:lineRule="auto"/>
        <w:jc w:val="both"/>
      </w:pPr>
      <w:r>
        <w:rPr>
          <w:b/>
          <w:bCs/>
        </w:rPr>
        <w:t xml:space="preserve">Keywords: </w:t>
      </w:r>
      <w:r>
        <w:rPr>
          <w:i/>
          <w:iCs/>
        </w:rPr>
        <w:t>database indexing; SQLite; query performance; B-tree; covering index; benchmark</w:t>
      </w:r>
    </w:p>
    <w:p w14:paraId="5B112758" w14:textId="77777777" w:rsidR="00A5676C" w:rsidRDefault="00000000">
      <w:pPr>
        <w:pStyle w:val="Heading1"/>
        <w:keepNext/>
      </w:pPr>
      <w:r>
        <w:t>1. Introduction</w:t>
      </w:r>
    </w:p>
    <w:p w14:paraId="3C1F3CAD" w14:textId="77777777" w:rsidR="00A5676C" w:rsidRDefault="00000000">
      <w:pPr>
        <w:spacing w:after="120" w:line="276" w:lineRule="auto"/>
        <w:jc w:val="both"/>
      </w:pPr>
      <w:r>
        <w:t>Relational database systems answer queries by choosing an access path, which is either a scan of the whole table or a lookup through an index (Selinger et al., 1979). The B-tree and its variants remain the standard structure for ordered indexes because they keep lookups logarithmic in table size while supporting range scans (Bayer &amp; McCreight, 1972; Comer, 1979; Graefe, 2011). Choosing which indexes to create is a well-known tuning problem, and automated tools for it have been studied for decades (Chaudhuri &amp; Narasayya, 1997). More recent work even proposes replacing B-trees with learned models for some workloads (Kraska et al., 2018), which shows that index design is still an active question.</w:t>
      </w:r>
    </w:p>
    <w:p w14:paraId="15678D4B" w14:textId="77777777" w:rsidR="00A5676C" w:rsidRDefault="00000000">
      <w:pPr>
        <w:spacing w:after="120" w:line="276" w:lineRule="auto"/>
        <w:jc w:val="both"/>
      </w:pPr>
      <w:r>
        <w:t>SQLite is probably the most widely deployed database engine, embedded in mobile applications, browsers, and desktop software (Gaffney et al., 2022). Developers using it often add indexes by habit, one column at a time, following the columns that appear in WHERE clauses. That habit is cheap to apply but may leave performance on the table, because a single-column index does not help every predicate shape, and it can hurt when the application also writes a lot of data.</w:t>
      </w:r>
    </w:p>
    <w:p w14:paraId="40A444EC" w14:textId="77777777" w:rsidR="00A5676C" w:rsidRDefault="00000000">
      <w:pPr>
        <w:spacing w:after="120" w:line="276" w:lineRule="auto"/>
        <w:jc w:val="both"/>
      </w:pPr>
      <w:r>
        <w:t>This paper asks three practical questions. First, how much does each index configuration reduce query latency as the table grows? Second, which query shapes benefit little from simple single-column indexes? Third, what do the indexes cost in storage, build time, and insert throughput? We answer them with a controlled benchmark that is small enough to repeat on any laptop, and we report the query plans so the measured differences can be tied to the access paths the engine actually chose.</w:t>
      </w:r>
    </w:p>
    <w:p w14:paraId="78F4E0EE" w14:textId="77777777" w:rsidR="00A5676C" w:rsidRDefault="00000000">
      <w:pPr>
        <w:pStyle w:val="Heading1"/>
        <w:keepNext/>
      </w:pPr>
      <w:r>
        <w:lastRenderedPageBreak/>
        <w:t>2. Methods</w:t>
      </w:r>
    </w:p>
    <w:p w14:paraId="65660A70" w14:textId="77777777" w:rsidR="00A5676C" w:rsidRDefault="00000000">
      <w:pPr>
        <w:pStyle w:val="Heading2"/>
        <w:keepNext/>
      </w:pPr>
      <w:r>
        <w:t>2.1 Schema and data</w:t>
      </w:r>
    </w:p>
    <w:p w14:paraId="16AB4DD2" w14:textId="77777777" w:rsidR="00A5676C" w:rsidRDefault="00000000">
      <w:pPr>
        <w:spacing w:after="120" w:line="276" w:lineRule="auto"/>
        <w:jc w:val="both"/>
      </w:pPr>
      <w:r>
        <w:t>The benchmark uses two tables. The customers table has an integer primary key and a region label drawn from ten values. The orders table has an integer primary key, a customer identifier, a status (one of five values), an amount, a creation day expressed as an integer from 0 to 1,094 (about three years), and a category identifier. Tables were generated with fixed random seeds at three sizes of 10,000, 100,000, and 1,000,000 orders. The number of customers was one tenth of the number of orders, so each customer had about ten orders on average. All attributes were drawn uniformly at random. This is a simplification: real data are usually skewed, and Section 4.2 discusses what that implies.</w:t>
      </w:r>
    </w:p>
    <w:p w14:paraId="44D530AE" w14:textId="77777777" w:rsidR="00A5676C" w:rsidRDefault="00000000">
      <w:pPr>
        <w:pStyle w:val="Heading2"/>
        <w:keepNext/>
      </w:pPr>
      <w:r>
        <w:t>2.2 Index configurations</w:t>
      </w:r>
    </w:p>
    <w:p w14:paraId="41B95050" w14:textId="77777777" w:rsidR="00A5676C" w:rsidRDefault="00000000">
      <w:pPr>
        <w:spacing w:after="120" w:line="276" w:lineRule="auto"/>
        <w:jc w:val="both"/>
      </w:pPr>
      <w:r>
        <w:t>Configuration A kept only the primary keys. Configuration B added one single-column index on each of customer_id, created_at, and status. Configuration C added three composite indexes: (customer_id, created_at), (created_at, amount), and (status, created_at, amount). The third and second of these were designed to cover the multi-predicate and range-aggregation queries respectively, so that those queries could be answered from the index alone. After each index set was created, ANALYZE was run so the query planner had up-to-date statistics.</w:t>
      </w:r>
    </w:p>
    <w:p w14:paraId="7D4AE360" w14:textId="77777777" w:rsidR="00A5676C" w:rsidRDefault="00000000">
      <w:pPr>
        <w:pStyle w:val="Heading2"/>
        <w:keepNext/>
      </w:pPr>
      <w:r>
        <w:t>2.3 Query workload</w:t>
      </w:r>
    </w:p>
    <w:p w14:paraId="3D01E3AB" w14:textId="77777777" w:rsidR="00A5676C" w:rsidRDefault="00000000">
      <w:pPr>
        <w:spacing w:after="120" w:line="276" w:lineRule="auto"/>
        <w:jc w:val="both"/>
      </w:pPr>
      <w:r>
        <w:t>Five queries were used. Q1 retrieves all orders of one customer (about 10 rows). Q2 counts orders and sums their amounts over a 30-day window (about 2.7% of the table). Q3 selects the identifier and amount of orders with a given status inside a 7-day window (about 0.13% of the table). Q4 joins orders to customers over a 7-day window and counts orders per region. Q5 returns the five most recent orders of one customer. Query parameters were drawn at random for each repetition so that results do not depend on one lucky value.</w:t>
      </w:r>
    </w:p>
    <w:p w14:paraId="0C87F276" w14:textId="77777777" w:rsidR="00A5676C" w:rsidRDefault="00000000">
      <w:pPr>
        <w:pStyle w:val="Heading2"/>
        <w:keepNext/>
      </w:pPr>
      <w:r>
        <w:t>2.4 Measurement protocol</w:t>
      </w:r>
    </w:p>
    <w:p w14:paraId="566D5C74" w14:textId="77777777" w:rsidR="00A5676C" w:rsidRDefault="00000000">
      <w:pPr>
        <w:spacing w:after="120" w:line="276" w:lineRule="auto"/>
        <w:jc w:val="both"/>
      </w:pPr>
      <w:r>
        <w:t>Each query was run 30 times per configuration and table size, preceded by three warm-up executions, and the median latency is reported. Timing used a monotonic clock around execution and full retrieval of the result set, in a single process with one database connection. The cache was therefore warm, and the numbers describe in-memory-cached performance rather than cold disk reads. Index build time was measured as the time to create all secondary indexes on the loaded table. Write cost was measured by inserting batches of 5,000 new rows, each batch in a single transaction with default journaling and synchronization settings. Seven batches were inserted per configuration and size, the first was discarded as warm-up, and the median throughput of the remaining six is reported. Database file size was read from disk after loading and index creation.</w:t>
      </w:r>
    </w:p>
    <w:p w14:paraId="3C80A1D6" w14:textId="77777777" w:rsidR="00A5676C" w:rsidRDefault="00000000">
      <w:pPr>
        <w:pStyle w:val="Heading2"/>
        <w:keepNext/>
      </w:pPr>
      <w:r>
        <w:t>2.5 Environment</w:t>
      </w:r>
    </w:p>
    <w:p w14:paraId="2DCD6476" w14:textId="77777777" w:rsidR="00A5676C" w:rsidRDefault="00000000">
      <w:pPr>
        <w:spacing w:after="120" w:line="276" w:lineRule="auto"/>
        <w:jc w:val="both"/>
      </w:pPr>
      <w:r>
        <w:t>All experiments ran on a Linux virtual machine with two virtual CPUs, using SQLite 3.45.1 through the Python 3.13 standard library. Absolute timings will differ on other hardware; the relative comparisons are the focus of this study. The query plan for each query was captured with EXPLAIN QUERY PLAN at the largest table size.</w:t>
      </w:r>
    </w:p>
    <w:p w14:paraId="3B93D4EA" w14:textId="77777777" w:rsidR="00A5676C" w:rsidRDefault="00000000">
      <w:pPr>
        <w:pStyle w:val="Heading1"/>
        <w:keepNext/>
      </w:pPr>
      <w:r>
        <w:lastRenderedPageBreak/>
        <w:t>3. Results</w:t>
      </w:r>
    </w:p>
    <w:p w14:paraId="315BEAE0" w14:textId="77777777" w:rsidR="00A5676C" w:rsidRDefault="00000000">
      <w:pPr>
        <w:pStyle w:val="Heading2"/>
        <w:keepNext/>
      </w:pPr>
      <w:r>
        <w:t>3.1 Query latency at one million rows</w:t>
      </w:r>
    </w:p>
    <w:p w14:paraId="2E4E735C" w14:textId="77777777" w:rsidR="00A5676C" w:rsidRDefault="00000000">
      <w:pPr>
        <w:spacing w:after="120" w:line="276" w:lineRule="auto"/>
        <w:jc w:val="both"/>
      </w:pPr>
      <w:r>
        <w:t>Table 1 and Figure 1 show median latency at the largest table size. Without secondary indexes all five queries took between 44.7 and 67.9 ms, which is the cost of scanning the full table. The query plans confirm this: every query in configuration A used a full scan of the orders table.</w:t>
      </w:r>
    </w:p>
    <w:p w14:paraId="12AC5E0D" w14:textId="77777777" w:rsidR="00A5676C" w:rsidRDefault="00000000">
      <w:pPr>
        <w:keepNext/>
        <w:spacing w:before="160" w:after="100"/>
        <w:jc w:val="center"/>
      </w:pPr>
      <w:r>
        <w:rPr>
          <w:b/>
          <w:bCs/>
          <w:sz w:val="20"/>
          <w:szCs w:val="20"/>
        </w:rPr>
        <w:t xml:space="preserve">Table 1. </w:t>
      </w:r>
      <w:r>
        <w:rPr>
          <w:sz w:val="20"/>
          <w:szCs w:val="20"/>
        </w:rPr>
        <w:t>Median query latency at 1,000,000 rows (A: no secondary index; B: single-column indexes; C: composite/covering indexes) and speedup relative to 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26"/>
        <w:gridCol w:w="1240"/>
        <w:gridCol w:w="1240"/>
        <w:gridCol w:w="1240"/>
        <w:gridCol w:w="1240"/>
        <w:gridCol w:w="1240"/>
      </w:tblGrid>
      <w:tr w:rsidR="00A5676C" w14:paraId="35A6262D" w14:textId="77777777">
        <w:tblPrEx>
          <w:tblCellMar>
            <w:top w:w="0" w:type="dxa"/>
            <w:bottom w:w="0" w:type="dxa"/>
          </w:tblCellMar>
        </w:tblPrEx>
        <w:trPr>
          <w:tblHeader/>
        </w:trPr>
        <w:tc>
          <w:tcPr>
            <w:tcW w:w="2826" w:type="dxa"/>
            <w:tcBorders>
              <w:top w:val="single" w:sz="8" w:space="0" w:color="000000"/>
              <w:left w:val="none" w:sz="0" w:space="0" w:color="FFFFFF"/>
              <w:bottom w:val="single" w:sz="4" w:space="0" w:color="000000"/>
              <w:right w:val="none" w:sz="0" w:space="0" w:color="FFFFFF"/>
            </w:tcBorders>
            <w:shd w:val="clear" w:color="auto" w:fill="FFFFFF"/>
            <w:tcMar>
              <w:top w:w="50" w:type="dxa"/>
              <w:left w:w="70" w:type="dxa"/>
              <w:bottom w:w="50" w:type="dxa"/>
              <w:right w:w="70" w:type="dxa"/>
            </w:tcMar>
          </w:tcPr>
          <w:p w14:paraId="79A0D317" w14:textId="77777777" w:rsidR="00A5676C" w:rsidRDefault="00000000">
            <w:r>
              <w:rPr>
                <w:b/>
                <w:bCs/>
                <w:sz w:val="19"/>
                <w:szCs w:val="19"/>
              </w:rPr>
              <w:t>Query</w:t>
            </w:r>
          </w:p>
        </w:tc>
        <w:tc>
          <w:tcPr>
            <w:tcW w:w="1240" w:type="dxa"/>
            <w:tcBorders>
              <w:top w:val="single" w:sz="8" w:space="0" w:color="000000"/>
              <w:left w:val="none" w:sz="0" w:space="0" w:color="FFFFFF"/>
              <w:bottom w:val="single" w:sz="4" w:space="0" w:color="000000"/>
              <w:right w:val="none" w:sz="0" w:space="0" w:color="FFFFFF"/>
            </w:tcBorders>
            <w:shd w:val="clear" w:color="auto" w:fill="FFFFFF"/>
            <w:tcMar>
              <w:top w:w="50" w:type="dxa"/>
              <w:left w:w="70" w:type="dxa"/>
              <w:bottom w:w="50" w:type="dxa"/>
              <w:right w:w="70" w:type="dxa"/>
            </w:tcMar>
          </w:tcPr>
          <w:p w14:paraId="29CF064E" w14:textId="77777777" w:rsidR="00A5676C" w:rsidRDefault="00000000">
            <w:pPr>
              <w:jc w:val="center"/>
            </w:pPr>
            <w:r>
              <w:rPr>
                <w:b/>
                <w:bCs/>
                <w:sz w:val="19"/>
                <w:szCs w:val="19"/>
              </w:rPr>
              <w:t>A (ms)</w:t>
            </w:r>
          </w:p>
        </w:tc>
        <w:tc>
          <w:tcPr>
            <w:tcW w:w="1240" w:type="dxa"/>
            <w:tcBorders>
              <w:top w:val="single" w:sz="8" w:space="0" w:color="000000"/>
              <w:left w:val="none" w:sz="0" w:space="0" w:color="FFFFFF"/>
              <w:bottom w:val="single" w:sz="4" w:space="0" w:color="000000"/>
              <w:right w:val="none" w:sz="0" w:space="0" w:color="FFFFFF"/>
            </w:tcBorders>
            <w:shd w:val="clear" w:color="auto" w:fill="FFFFFF"/>
            <w:tcMar>
              <w:top w:w="50" w:type="dxa"/>
              <w:left w:w="70" w:type="dxa"/>
              <w:bottom w:w="50" w:type="dxa"/>
              <w:right w:w="70" w:type="dxa"/>
            </w:tcMar>
          </w:tcPr>
          <w:p w14:paraId="06319603" w14:textId="77777777" w:rsidR="00A5676C" w:rsidRDefault="00000000">
            <w:pPr>
              <w:jc w:val="center"/>
            </w:pPr>
            <w:r>
              <w:rPr>
                <w:b/>
                <w:bCs/>
                <w:sz w:val="19"/>
                <w:szCs w:val="19"/>
              </w:rPr>
              <w:t>B (ms)</w:t>
            </w:r>
          </w:p>
        </w:tc>
        <w:tc>
          <w:tcPr>
            <w:tcW w:w="1240" w:type="dxa"/>
            <w:tcBorders>
              <w:top w:val="single" w:sz="8" w:space="0" w:color="000000"/>
              <w:left w:val="none" w:sz="0" w:space="0" w:color="FFFFFF"/>
              <w:bottom w:val="single" w:sz="4" w:space="0" w:color="000000"/>
              <w:right w:val="none" w:sz="0" w:space="0" w:color="FFFFFF"/>
            </w:tcBorders>
            <w:shd w:val="clear" w:color="auto" w:fill="FFFFFF"/>
            <w:tcMar>
              <w:top w:w="50" w:type="dxa"/>
              <w:left w:w="70" w:type="dxa"/>
              <w:bottom w:w="50" w:type="dxa"/>
              <w:right w:w="70" w:type="dxa"/>
            </w:tcMar>
          </w:tcPr>
          <w:p w14:paraId="3754A2FE" w14:textId="77777777" w:rsidR="00A5676C" w:rsidRDefault="00000000">
            <w:pPr>
              <w:jc w:val="center"/>
            </w:pPr>
            <w:r>
              <w:rPr>
                <w:b/>
                <w:bCs/>
                <w:sz w:val="19"/>
                <w:szCs w:val="19"/>
              </w:rPr>
              <w:t>C (ms)</w:t>
            </w:r>
          </w:p>
        </w:tc>
        <w:tc>
          <w:tcPr>
            <w:tcW w:w="1240" w:type="dxa"/>
            <w:tcBorders>
              <w:top w:val="single" w:sz="8" w:space="0" w:color="000000"/>
              <w:left w:val="none" w:sz="0" w:space="0" w:color="FFFFFF"/>
              <w:bottom w:val="single" w:sz="4" w:space="0" w:color="000000"/>
              <w:right w:val="none" w:sz="0" w:space="0" w:color="FFFFFF"/>
            </w:tcBorders>
            <w:shd w:val="clear" w:color="auto" w:fill="FFFFFF"/>
            <w:tcMar>
              <w:top w:w="50" w:type="dxa"/>
              <w:left w:w="70" w:type="dxa"/>
              <w:bottom w:w="50" w:type="dxa"/>
              <w:right w:w="70" w:type="dxa"/>
            </w:tcMar>
          </w:tcPr>
          <w:p w14:paraId="44FDC310" w14:textId="77777777" w:rsidR="00A5676C" w:rsidRDefault="00000000">
            <w:pPr>
              <w:jc w:val="center"/>
            </w:pPr>
            <w:r>
              <w:rPr>
                <w:b/>
                <w:bCs/>
                <w:sz w:val="19"/>
                <w:szCs w:val="19"/>
              </w:rPr>
              <w:t>B speedup</w:t>
            </w:r>
          </w:p>
        </w:tc>
        <w:tc>
          <w:tcPr>
            <w:tcW w:w="1240" w:type="dxa"/>
            <w:tcBorders>
              <w:top w:val="single" w:sz="8" w:space="0" w:color="000000"/>
              <w:left w:val="none" w:sz="0" w:space="0" w:color="FFFFFF"/>
              <w:bottom w:val="single" w:sz="4" w:space="0" w:color="000000"/>
              <w:right w:val="none" w:sz="0" w:space="0" w:color="FFFFFF"/>
            </w:tcBorders>
            <w:shd w:val="clear" w:color="auto" w:fill="FFFFFF"/>
            <w:tcMar>
              <w:top w:w="50" w:type="dxa"/>
              <w:left w:w="70" w:type="dxa"/>
              <w:bottom w:w="50" w:type="dxa"/>
              <w:right w:w="70" w:type="dxa"/>
            </w:tcMar>
          </w:tcPr>
          <w:p w14:paraId="56312004" w14:textId="77777777" w:rsidR="00A5676C" w:rsidRDefault="00000000">
            <w:pPr>
              <w:jc w:val="center"/>
            </w:pPr>
            <w:r>
              <w:rPr>
                <w:b/>
                <w:bCs/>
                <w:sz w:val="19"/>
                <w:szCs w:val="19"/>
              </w:rPr>
              <w:t>C speedup</w:t>
            </w:r>
          </w:p>
        </w:tc>
      </w:tr>
      <w:tr w:rsidR="00A5676C" w14:paraId="0C722042" w14:textId="77777777">
        <w:tblPrEx>
          <w:tblCellMar>
            <w:top w:w="0" w:type="dxa"/>
            <w:bottom w:w="0" w:type="dxa"/>
          </w:tblCellMar>
        </w:tblPrEx>
        <w:trPr>
          <w:cantSplit/>
        </w:trPr>
        <w:tc>
          <w:tcPr>
            <w:tcW w:w="2826"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42135554" w14:textId="77777777" w:rsidR="00A5676C" w:rsidRDefault="00000000">
            <w:r>
              <w:rPr>
                <w:sz w:val="19"/>
                <w:szCs w:val="19"/>
              </w:rPr>
              <w:t>Q1 point lookup (customer)</w:t>
            </w:r>
          </w:p>
        </w:tc>
        <w:tc>
          <w:tcPr>
            <w:tcW w:w="124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7ABD4E34" w14:textId="77777777" w:rsidR="00A5676C" w:rsidRDefault="00000000">
            <w:pPr>
              <w:jc w:val="center"/>
            </w:pPr>
            <w:r>
              <w:rPr>
                <w:sz w:val="19"/>
                <w:szCs w:val="19"/>
              </w:rPr>
              <w:t>46.1</w:t>
            </w:r>
          </w:p>
        </w:tc>
        <w:tc>
          <w:tcPr>
            <w:tcW w:w="124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4B6E2729" w14:textId="77777777" w:rsidR="00A5676C" w:rsidRDefault="00000000">
            <w:pPr>
              <w:jc w:val="center"/>
            </w:pPr>
            <w:r>
              <w:rPr>
                <w:sz w:val="19"/>
                <w:szCs w:val="19"/>
              </w:rPr>
              <w:t>0.040</w:t>
            </w:r>
          </w:p>
        </w:tc>
        <w:tc>
          <w:tcPr>
            <w:tcW w:w="124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5BE13CEA" w14:textId="77777777" w:rsidR="00A5676C" w:rsidRDefault="00000000">
            <w:pPr>
              <w:jc w:val="center"/>
            </w:pPr>
            <w:r>
              <w:rPr>
                <w:sz w:val="19"/>
                <w:szCs w:val="19"/>
              </w:rPr>
              <w:t>0.040</w:t>
            </w:r>
          </w:p>
        </w:tc>
        <w:tc>
          <w:tcPr>
            <w:tcW w:w="124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6AEAC1DC" w14:textId="77777777" w:rsidR="00A5676C" w:rsidRDefault="00000000">
            <w:pPr>
              <w:jc w:val="center"/>
            </w:pPr>
            <w:r>
              <w:rPr>
                <w:sz w:val="19"/>
                <w:szCs w:val="19"/>
              </w:rPr>
              <w:t>1,155×</w:t>
            </w:r>
          </w:p>
        </w:tc>
        <w:tc>
          <w:tcPr>
            <w:tcW w:w="124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4B1C017E" w14:textId="77777777" w:rsidR="00A5676C" w:rsidRDefault="00000000">
            <w:pPr>
              <w:jc w:val="center"/>
            </w:pPr>
            <w:r>
              <w:rPr>
                <w:sz w:val="19"/>
                <w:szCs w:val="19"/>
              </w:rPr>
              <w:t>1,164×</w:t>
            </w:r>
          </w:p>
        </w:tc>
      </w:tr>
      <w:tr w:rsidR="00A5676C" w14:paraId="70A38B70" w14:textId="77777777">
        <w:tblPrEx>
          <w:tblCellMar>
            <w:top w:w="0" w:type="dxa"/>
            <w:bottom w:w="0" w:type="dxa"/>
          </w:tblCellMar>
        </w:tblPrEx>
        <w:trPr>
          <w:cantSplit/>
        </w:trPr>
        <w:tc>
          <w:tcPr>
            <w:tcW w:w="2826"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114C4385" w14:textId="77777777" w:rsidR="00A5676C" w:rsidRDefault="00000000">
            <w:r>
              <w:rPr>
                <w:sz w:val="19"/>
                <w:szCs w:val="19"/>
              </w:rPr>
              <w:t>Q2 range aggregate (30 days)</w:t>
            </w:r>
          </w:p>
        </w:tc>
        <w:tc>
          <w:tcPr>
            <w:tcW w:w="124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35C6F9FE" w14:textId="77777777" w:rsidR="00A5676C" w:rsidRDefault="00000000">
            <w:pPr>
              <w:jc w:val="center"/>
            </w:pPr>
            <w:r>
              <w:rPr>
                <w:sz w:val="19"/>
                <w:szCs w:val="19"/>
              </w:rPr>
              <w:t>50.5</w:t>
            </w:r>
          </w:p>
        </w:tc>
        <w:tc>
          <w:tcPr>
            <w:tcW w:w="124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2D71535A" w14:textId="77777777" w:rsidR="00A5676C" w:rsidRDefault="00000000">
            <w:pPr>
              <w:jc w:val="center"/>
            </w:pPr>
            <w:r>
              <w:rPr>
                <w:sz w:val="19"/>
                <w:szCs w:val="19"/>
              </w:rPr>
              <w:t>37.8</w:t>
            </w:r>
          </w:p>
        </w:tc>
        <w:tc>
          <w:tcPr>
            <w:tcW w:w="124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6F976182" w14:textId="77777777" w:rsidR="00A5676C" w:rsidRDefault="00000000">
            <w:pPr>
              <w:jc w:val="center"/>
            </w:pPr>
            <w:r>
              <w:rPr>
                <w:sz w:val="19"/>
                <w:szCs w:val="19"/>
              </w:rPr>
              <w:t>1.90</w:t>
            </w:r>
          </w:p>
        </w:tc>
        <w:tc>
          <w:tcPr>
            <w:tcW w:w="124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1D84B2D0" w14:textId="77777777" w:rsidR="00A5676C" w:rsidRDefault="00000000">
            <w:pPr>
              <w:jc w:val="center"/>
            </w:pPr>
            <w:r>
              <w:rPr>
                <w:sz w:val="19"/>
                <w:szCs w:val="19"/>
              </w:rPr>
              <w:t>1.3×</w:t>
            </w:r>
          </w:p>
        </w:tc>
        <w:tc>
          <w:tcPr>
            <w:tcW w:w="124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06CC8F56" w14:textId="77777777" w:rsidR="00A5676C" w:rsidRDefault="00000000">
            <w:pPr>
              <w:jc w:val="center"/>
            </w:pPr>
            <w:r>
              <w:rPr>
                <w:sz w:val="19"/>
                <w:szCs w:val="19"/>
              </w:rPr>
              <w:t>26.6×</w:t>
            </w:r>
          </w:p>
        </w:tc>
      </w:tr>
      <w:tr w:rsidR="00A5676C" w14:paraId="69A90DA3" w14:textId="77777777">
        <w:tblPrEx>
          <w:tblCellMar>
            <w:top w:w="0" w:type="dxa"/>
            <w:bottom w:w="0" w:type="dxa"/>
          </w:tblCellMar>
        </w:tblPrEx>
        <w:trPr>
          <w:cantSplit/>
        </w:trPr>
        <w:tc>
          <w:tcPr>
            <w:tcW w:w="2826"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4D29468A" w14:textId="77777777" w:rsidR="00A5676C" w:rsidRDefault="00000000">
            <w:r>
              <w:rPr>
                <w:sz w:val="19"/>
                <w:szCs w:val="19"/>
              </w:rPr>
              <w:t>Q3 multi-predicate</w:t>
            </w:r>
          </w:p>
        </w:tc>
        <w:tc>
          <w:tcPr>
            <w:tcW w:w="124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438409E7" w14:textId="77777777" w:rsidR="00A5676C" w:rsidRDefault="00000000">
            <w:pPr>
              <w:jc w:val="center"/>
            </w:pPr>
            <w:r>
              <w:rPr>
                <w:sz w:val="19"/>
                <w:szCs w:val="19"/>
              </w:rPr>
              <w:t>67.9</w:t>
            </w:r>
          </w:p>
        </w:tc>
        <w:tc>
          <w:tcPr>
            <w:tcW w:w="124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3B7CC0BB" w14:textId="77777777" w:rsidR="00A5676C" w:rsidRDefault="00000000">
            <w:pPr>
              <w:jc w:val="center"/>
            </w:pPr>
            <w:r>
              <w:rPr>
                <w:sz w:val="19"/>
                <w:szCs w:val="19"/>
              </w:rPr>
              <w:t>9.06</w:t>
            </w:r>
          </w:p>
        </w:tc>
        <w:tc>
          <w:tcPr>
            <w:tcW w:w="124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3BFA894B" w14:textId="77777777" w:rsidR="00A5676C" w:rsidRDefault="00000000">
            <w:pPr>
              <w:jc w:val="center"/>
            </w:pPr>
            <w:r>
              <w:rPr>
                <w:sz w:val="19"/>
                <w:szCs w:val="19"/>
              </w:rPr>
              <w:t>0.534</w:t>
            </w:r>
          </w:p>
        </w:tc>
        <w:tc>
          <w:tcPr>
            <w:tcW w:w="124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1571E767" w14:textId="77777777" w:rsidR="00A5676C" w:rsidRDefault="00000000">
            <w:pPr>
              <w:jc w:val="center"/>
            </w:pPr>
            <w:r>
              <w:rPr>
                <w:sz w:val="19"/>
                <w:szCs w:val="19"/>
              </w:rPr>
              <w:t>7.5×</w:t>
            </w:r>
          </w:p>
        </w:tc>
        <w:tc>
          <w:tcPr>
            <w:tcW w:w="124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4DC71623" w14:textId="77777777" w:rsidR="00A5676C" w:rsidRDefault="00000000">
            <w:pPr>
              <w:jc w:val="center"/>
            </w:pPr>
            <w:r>
              <w:rPr>
                <w:sz w:val="19"/>
                <w:szCs w:val="19"/>
              </w:rPr>
              <w:t>127×</w:t>
            </w:r>
          </w:p>
        </w:tc>
      </w:tr>
      <w:tr w:rsidR="00A5676C" w14:paraId="56C7C768" w14:textId="77777777">
        <w:tblPrEx>
          <w:tblCellMar>
            <w:top w:w="0" w:type="dxa"/>
            <w:bottom w:w="0" w:type="dxa"/>
          </w:tblCellMar>
        </w:tblPrEx>
        <w:trPr>
          <w:cantSplit/>
        </w:trPr>
        <w:tc>
          <w:tcPr>
            <w:tcW w:w="2826"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157D06A7" w14:textId="77777777" w:rsidR="00A5676C" w:rsidRDefault="00000000">
            <w:r>
              <w:rPr>
                <w:sz w:val="19"/>
                <w:szCs w:val="19"/>
              </w:rPr>
              <w:t>Q4 join + group</w:t>
            </w:r>
          </w:p>
        </w:tc>
        <w:tc>
          <w:tcPr>
            <w:tcW w:w="124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7874DF60" w14:textId="77777777" w:rsidR="00A5676C" w:rsidRDefault="00000000">
            <w:pPr>
              <w:jc w:val="center"/>
            </w:pPr>
            <w:r>
              <w:rPr>
                <w:sz w:val="19"/>
                <w:szCs w:val="19"/>
              </w:rPr>
              <w:t>55.7</w:t>
            </w:r>
          </w:p>
        </w:tc>
        <w:tc>
          <w:tcPr>
            <w:tcW w:w="124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36AA543F" w14:textId="77777777" w:rsidR="00A5676C" w:rsidRDefault="00000000">
            <w:pPr>
              <w:jc w:val="center"/>
            </w:pPr>
            <w:r>
              <w:rPr>
                <w:sz w:val="19"/>
                <w:szCs w:val="19"/>
              </w:rPr>
              <w:t>13.7</w:t>
            </w:r>
          </w:p>
        </w:tc>
        <w:tc>
          <w:tcPr>
            <w:tcW w:w="124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3F6EBDCB" w14:textId="77777777" w:rsidR="00A5676C" w:rsidRDefault="00000000">
            <w:pPr>
              <w:jc w:val="center"/>
            </w:pPr>
            <w:r>
              <w:rPr>
                <w:sz w:val="19"/>
                <w:szCs w:val="19"/>
              </w:rPr>
              <w:t>15.4</w:t>
            </w:r>
          </w:p>
        </w:tc>
        <w:tc>
          <w:tcPr>
            <w:tcW w:w="124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1673E479" w14:textId="77777777" w:rsidR="00A5676C" w:rsidRDefault="00000000">
            <w:pPr>
              <w:jc w:val="center"/>
            </w:pPr>
            <w:r>
              <w:rPr>
                <w:sz w:val="19"/>
                <w:szCs w:val="19"/>
              </w:rPr>
              <w:t>4.1×</w:t>
            </w:r>
          </w:p>
        </w:tc>
        <w:tc>
          <w:tcPr>
            <w:tcW w:w="124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7710B39F" w14:textId="77777777" w:rsidR="00A5676C" w:rsidRDefault="00000000">
            <w:pPr>
              <w:jc w:val="center"/>
            </w:pPr>
            <w:r>
              <w:rPr>
                <w:sz w:val="19"/>
                <w:szCs w:val="19"/>
              </w:rPr>
              <w:t>3.6×</w:t>
            </w:r>
          </w:p>
        </w:tc>
      </w:tr>
      <w:tr w:rsidR="00A5676C" w14:paraId="1E95900D" w14:textId="77777777">
        <w:tblPrEx>
          <w:tblCellMar>
            <w:top w:w="0" w:type="dxa"/>
            <w:bottom w:w="0" w:type="dxa"/>
          </w:tblCellMar>
        </w:tblPrEx>
        <w:trPr>
          <w:cantSplit/>
        </w:trPr>
        <w:tc>
          <w:tcPr>
            <w:tcW w:w="2826" w:type="dxa"/>
            <w:tcBorders>
              <w:top w:val="none" w:sz="0" w:space="0" w:color="FFFFFF"/>
              <w:left w:val="none" w:sz="0" w:space="0" w:color="FFFFFF"/>
              <w:bottom w:val="single" w:sz="8" w:space="0" w:color="000000"/>
              <w:right w:val="none" w:sz="0" w:space="0" w:color="FFFFFF"/>
            </w:tcBorders>
            <w:shd w:val="clear" w:color="auto" w:fill="FFFFFF"/>
            <w:tcMar>
              <w:top w:w="50" w:type="dxa"/>
              <w:left w:w="70" w:type="dxa"/>
              <w:bottom w:w="50" w:type="dxa"/>
              <w:right w:w="70" w:type="dxa"/>
            </w:tcMar>
          </w:tcPr>
          <w:p w14:paraId="4939C94E" w14:textId="77777777" w:rsidR="00A5676C" w:rsidRDefault="00000000">
            <w:r>
              <w:rPr>
                <w:sz w:val="19"/>
                <w:szCs w:val="19"/>
              </w:rPr>
              <w:t>Q5 top-5 per customer</w:t>
            </w:r>
          </w:p>
        </w:tc>
        <w:tc>
          <w:tcPr>
            <w:tcW w:w="1240" w:type="dxa"/>
            <w:tcBorders>
              <w:top w:val="none" w:sz="0" w:space="0" w:color="FFFFFF"/>
              <w:left w:val="none" w:sz="0" w:space="0" w:color="FFFFFF"/>
              <w:bottom w:val="single" w:sz="8" w:space="0" w:color="000000"/>
              <w:right w:val="none" w:sz="0" w:space="0" w:color="FFFFFF"/>
            </w:tcBorders>
            <w:shd w:val="clear" w:color="auto" w:fill="FFFFFF"/>
            <w:tcMar>
              <w:top w:w="50" w:type="dxa"/>
              <w:left w:w="70" w:type="dxa"/>
              <w:bottom w:w="50" w:type="dxa"/>
              <w:right w:w="70" w:type="dxa"/>
            </w:tcMar>
          </w:tcPr>
          <w:p w14:paraId="48EC9E16" w14:textId="77777777" w:rsidR="00A5676C" w:rsidRDefault="00000000">
            <w:pPr>
              <w:jc w:val="center"/>
            </w:pPr>
            <w:r>
              <w:rPr>
                <w:sz w:val="19"/>
                <w:szCs w:val="19"/>
              </w:rPr>
              <w:t>44.7</w:t>
            </w:r>
          </w:p>
        </w:tc>
        <w:tc>
          <w:tcPr>
            <w:tcW w:w="1240" w:type="dxa"/>
            <w:tcBorders>
              <w:top w:val="none" w:sz="0" w:space="0" w:color="FFFFFF"/>
              <w:left w:val="none" w:sz="0" w:space="0" w:color="FFFFFF"/>
              <w:bottom w:val="single" w:sz="8" w:space="0" w:color="000000"/>
              <w:right w:val="none" w:sz="0" w:space="0" w:color="FFFFFF"/>
            </w:tcBorders>
            <w:shd w:val="clear" w:color="auto" w:fill="FFFFFF"/>
            <w:tcMar>
              <w:top w:w="50" w:type="dxa"/>
              <w:left w:w="70" w:type="dxa"/>
              <w:bottom w:w="50" w:type="dxa"/>
              <w:right w:w="70" w:type="dxa"/>
            </w:tcMar>
          </w:tcPr>
          <w:p w14:paraId="38798949" w14:textId="77777777" w:rsidR="00A5676C" w:rsidRDefault="00000000">
            <w:pPr>
              <w:jc w:val="center"/>
            </w:pPr>
            <w:r>
              <w:rPr>
                <w:sz w:val="19"/>
                <w:szCs w:val="19"/>
              </w:rPr>
              <w:t>0.032</w:t>
            </w:r>
          </w:p>
        </w:tc>
        <w:tc>
          <w:tcPr>
            <w:tcW w:w="1240" w:type="dxa"/>
            <w:tcBorders>
              <w:top w:val="none" w:sz="0" w:space="0" w:color="FFFFFF"/>
              <w:left w:val="none" w:sz="0" w:space="0" w:color="FFFFFF"/>
              <w:bottom w:val="single" w:sz="8" w:space="0" w:color="000000"/>
              <w:right w:val="none" w:sz="0" w:space="0" w:color="FFFFFF"/>
            </w:tcBorders>
            <w:shd w:val="clear" w:color="auto" w:fill="FFFFFF"/>
            <w:tcMar>
              <w:top w:w="50" w:type="dxa"/>
              <w:left w:w="70" w:type="dxa"/>
              <w:bottom w:w="50" w:type="dxa"/>
              <w:right w:w="70" w:type="dxa"/>
            </w:tcMar>
          </w:tcPr>
          <w:p w14:paraId="29948073" w14:textId="77777777" w:rsidR="00A5676C" w:rsidRDefault="00000000">
            <w:pPr>
              <w:jc w:val="center"/>
            </w:pPr>
            <w:r>
              <w:rPr>
                <w:sz w:val="19"/>
                <w:szCs w:val="19"/>
              </w:rPr>
              <w:t>0.017</w:t>
            </w:r>
          </w:p>
        </w:tc>
        <w:tc>
          <w:tcPr>
            <w:tcW w:w="1240" w:type="dxa"/>
            <w:tcBorders>
              <w:top w:val="none" w:sz="0" w:space="0" w:color="FFFFFF"/>
              <w:left w:val="none" w:sz="0" w:space="0" w:color="FFFFFF"/>
              <w:bottom w:val="single" w:sz="8" w:space="0" w:color="000000"/>
              <w:right w:val="none" w:sz="0" w:space="0" w:color="FFFFFF"/>
            </w:tcBorders>
            <w:shd w:val="clear" w:color="auto" w:fill="FFFFFF"/>
            <w:tcMar>
              <w:top w:w="50" w:type="dxa"/>
              <w:left w:w="70" w:type="dxa"/>
              <w:bottom w:w="50" w:type="dxa"/>
              <w:right w:w="70" w:type="dxa"/>
            </w:tcMar>
          </w:tcPr>
          <w:p w14:paraId="411087D4" w14:textId="77777777" w:rsidR="00A5676C" w:rsidRDefault="00000000">
            <w:pPr>
              <w:jc w:val="center"/>
            </w:pPr>
            <w:r>
              <w:rPr>
                <w:sz w:val="19"/>
                <w:szCs w:val="19"/>
              </w:rPr>
              <w:t>1,417×</w:t>
            </w:r>
          </w:p>
        </w:tc>
        <w:tc>
          <w:tcPr>
            <w:tcW w:w="1240" w:type="dxa"/>
            <w:tcBorders>
              <w:top w:val="none" w:sz="0" w:space="0" w:color="FFFFFF"/>
              <w:left w:val="none" w:sz="0" w:space="0" w:color="FFFFFF"/>
              <w:bottom w:val="single" w:sz="8" w:space="0" w:color="000000"/>
              <w:right w:val="none" w:sz="0" w:space="0" w:color="FFFFFF"/>
            </w:tcBorders>
            <w:shd w:val="clear" w:color="auto" w:fill="FFFFFF"/>
            <w:tcMar>
              <w:top w:w="50" w:type="dxa"/>
              <w:left w:w="70" w:type="dxa"/>
              <w:bottom w:w="50" w:type="dxa"/>
              <w:right w:w="70" w:type="dxa"/>
            </w:tcMar>
          </w:tcPr>
          <w:p w14:paraId="3237B7DE" w14:textId="77777777" w:rsidR="00A5676C" w:rsidRDefault="00000000">
            <w:pPr>
              <w:jc w:val="center"/>
            </w:pPr>
            <w:r>
              <w:rPr>
                <w:sz w:val="19"/>
                <w:szCs w:val="19"/>
              </w:rPr>
              <w:t>2,621×</w:t>
            </w:r>
          </w:p>
        </w:tc>
      </w:tr>
    </w:tbl>
    <w:p w14:paraId="6AC3F260" w14:textId="77777777" w:rsidR="00A5676C" w:rsidRDefault="00A5676C">
      <w:pPr>
        <w:spacing w:after="60" w:line="276" w:lineRule="auto"/>
        <w:jc w:val="both"/>
      </w:pPr>
    </w:p>
    <w:p w14:paraId="7A363ACB" w14:textId="77777777" w:rsidR="00A5676C" w:rsidRDefault="00000000">
      <w:pPr>
        <w:spacing w:after="120" w:line="276" w:lineRule="auto"/>
        <w:jc w:val="both"/>
      </w:pPr>
      <w:r>
        <w:t>The two selective lookups, Q1 and Q5, improved by three orders of magnitude. Q1 dropped from 46.1 ms to 0.04 ms under both B and C, a speedup of roughly 1,155 times. For Q5, the composite index on (customer_id, created_at) was better than the single-column index (0.017 ms against 0.032 ms) because it returns rows already ordered by date. The plan for configuration B shows a temporary B-tree built for the ORDER BY step, whereas the plan for C does not.</w:t>
      </w:r>
    </w:p>
    <w:p w14:paraId="0D7A697F" w14:textId="77777777" w:rsidR="00A5676C" w:rsidRDefault="00000000">
      <w:pPr>
        <w:spacing w:after="120" w:line="276" w:lineRule="auto"/>
        <w:jc w:val="both"/>
      </w:pPr>
      <w:r>
        <w:t>The range and multi-predicate queries separated the two index designs more clearly. For Q2, single-column indexes reduced latency only from 50.5 ms to 37.8 ms (1.3 times). The plan shows that the engine did use the index on created_at, but because amount is not stored in that index, each of the roughly 27,000 matching rows still required a lookup in the table. The covering index on (created_at, amount) removed those lookups, and the latency fell to 1.9 ms (26.6 times). For Q3, B reached 9.1 ms and C reached 0.53 ms, which is 7.5 and 127 times faster than the scan. In configuration B the planner chose the index on created_at rather than the one on status, so only one of the two predicates narrowed the search; the composite index handled the equality on status and the range on created_at together.</w:t>
      </w:r>
    </w:p>
    <w:p w14:paraId="2C2DE868" w14:textId="77777777" w:rsidR="00A5676C" w:rsidRDefault="00000000">
      <w:pPr>
        <w:keepNext/>
        <w:spacing w:before="120" w:after="60"/>
        <w:jc w:val="center"/>
      </w:pPr>
      <w:r>
        <w:rPr>
          <w:noProof/>
        </w:rPr>
        <w:drawing>
          <wp:inline distT="0" distB="0" distL="0" distR="0" wp14:anchorId="6DAD83CC" wp14:editId="34A627E4">
            <wp:extent cx="5334000" cy="2705100"/>
            <wp:effectExtent l="0" t="0" r="0" b="0"/>
            <wp:docPr id="1" name="fig1" descr="Grouped bar chart of median latency per query and index configuration at one million rows, log scale" title="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334000" cy="2705100"/>
                    </a:xfrm>
                    <a:prstGeom prst="rect">
                      <a:avLst/>
                    </a:prstGeom>
                  </pic:spPr>
                </pic:pic>
              </a:graphicData>
            </a:graphic>
          </wp:inline>
        </w:drawing>
      </w:r>
    </w:p>
    <w:p w14:paraId="7839AB41" w14:textId="77777777" w:rsidR="00A5676C" w:rsidRDefault="00000000">
      <w:pPr>
        <w:spacing w:before="160" w:after="100"/>
        <w:jc w:val="center"/>
      </w:pPr>
      <w:r>
        <w:rPr>
          <w:b/>
          <w:bCs/>
          <w:sz w:val="20"/>
          <w:szCs w:val="20"/>
        </w:rPr>
        <w:t xml:space="preserve">Figure 1. </w:t>
      </w:r>
      <w:r>
        <w:rPr>
          <w:sz w:val="20"/>
          <w:szCs w:val="20"/>
        </w:rPr>
        <w:t>Median latency at 1,000,000 rows by query and index configuration (logarithmic vertical axis)</w:t>
      </w:r>
    </w:p>
    <w:p w14:paraId="576BD5C5" w14:textId="77777777" w:rsidR="00A5676C" w:rsidRDefault="00000000">
      <w:pPr>
        <w:spacing w:after="120" w:line="276" w:lineRule="auto"/>
        <w:jc w:val="both"/>
      </w:pPr>
      <w:r>
        <w:lastRenderedPageBreak/>
        <w:t>Q4, the join with grouping, benefited least and equally from both indexed configurations (4.1 times for B and 3.6 times for C). In both cases the plan filters orders through an index on created_at, looks up each customer by primary key, and groups the result in a temporary B-tree. Configuration C's covering index does not contain customer_id, so the table lookups remained.</w:t>
      </w:r>
    </w:p>
    <w:p w14:paraId="5EF4DBD4" w14:textId="77777777" w:rsidR="00A5676C" w:rsidRDefault="00000000">
      <w:pPr>
        <w:pStyle w:val="Heading2"/>
        <w:keepNext/>
      </w:pPr>
      <w:r>
        <w:t>3.2 Scaling with table size</w:t>
      </w:r>
    </w:p>
    <w:p w14:paraId="72A2381E" w14:textId="77777777" w:rsidR="00A5676C" w:rsidRDefault="00000000">
      <w:pPr>
        <w:spacing w:after="120" w:line="276" w:lineRule="auto"/>
        <w:jc w:val="both"/>
      </w:pPr>
      <w:r>
        <w:t>Table 2 gives the speedup over configuration A at each size. Without secondary indexes, latency grew about linearly with the table: Q1 went from 0.36 ms to 4.28 ms to 46.1 ms as the table grew from 10⁴ to 10⁵ to 10⁶ rows. With an index on customer_id the same query went from 0.018 ms to 0.031 ms to 0.040 ms, so the index speedup itself grew from about 20 times to more than 1,100 times. The benefit of an index therefore increases with table size for selective queries. For Q2, in contrast, the advantage of single-column indexes shrank from 5.1 times at 10⁴ rows to 1.3 times at 10⁶ rows, while the covering index kept a speedup of between 18 and 27 times at every size.</w:t>
      </w:r>
    </w:p>
    <w:p w14:paraId="544FCA83" w14:textId="77777777" w:rsidR="00A5676C" w:rsidRDefault="00000000">
      <w:pPr>
        <w:keepNext/>
        <w:spacing w:before="160" w:after="100"/>
        <w:jc w:val="center"/>
      </w:pPr>
      <w:r>
        <w:rPr>
          <w:b/>
          <w:bCs/>
          <w:sz w:val="20"/>
          <w:szCs w:val="20"/>
        </w:rPr>
        <w:t xml:space="preserve">Table 2. </w:t>
      </w:r>
      <w:r>
        <w:rPr>
          <w:sz w:val="20"/>
          <w:szCs w:val="20"/>
        </w:rPr>
        <w:t>Speedup relative to configuration A for B and C at each table size (10⁴, 10⁵, and 10⁶ rows)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26"/>
        <w:gridCol w:w="1033"/>
        <w:gridCol w:w="1033"/>
        <w:gridCol w:w="1033"/>
        <w:gridCol w:w="1033"/>
        <w:gridCol w:w="1034"/>
        <w:gridCol w:w="1034"/>
      </w:tblGrid>
      <w:tr w:rsidR="00A5676C" w14:paraId="0DE1DAAB" w14:textId="77777777">
        <w:tblPrEx>
          <w:tblCellMar>
            <w:top w:w="0" w:type="dxa"/>
            <w:bottom w:w="0" w:type="dxa"/>
          </w:tblCellMar>
        </w:tblPrEx>
        <w:trPr>
          <w:tblHeader/>
        </w:trPr>
        <w:tc>
          <w:tcPr>
            <w:tcW w:w="2826" w:type="dxa"/>
            <w:tcBorders>
              <w:top w:val="single" w:sz="8" w:space="0" w:color="000000"/>
              <w:left w:val="none" w:sz="0" w:space="0" w:color="FFFFFF"/>
              <w:bottom w:val="single" w:sz="4" w:space="0" w:color="000000"/>
              <w:right w:val="none" w:sz="0" w:space="0" w:color="FFFFFF"/>
            </w:tcBorders>
            <w:shd w:val="clear" w:color="auto" w:fill="FFFFFF"/>
            <w:tcMar>
              <w:top w:w="50" w:type="dxa"/>
              <w:left w:w="70" w:type="dxa"/>
              <w:bottom w:w="50" w:type="dxa"/>
              <w:right w:w="70" w:type="dxa"/>
            </w:tcMar>
          </w:tcPr>
          <w:p w14:paraId="1418E7EC" w14:textId="77777777" w:rsidR="00A5676C" w:rsidRDefault="00000000">
            <w:r>
              <w:rPr>
                <w:b/>
                <w:bCs/>
                <w:sz w:val="19"/>
                <w:szCs w:val="19"/>
              </w:rPr>
              <w:t>Query</w:t>
            </w:r>
          </w:p>
        </w:tc>
        <w:tc>
          <w:tcPr>
            <w:tcW w:w="1033" w:type="dxa"/>
            <w:tcBorders>
              <w:top w:val="single" w:sz="8" w:space="0" w:color="000000"/>
              <w:left w:val="none" w:sz="0" w:space="0" w:color="FFFFFF"/>
              <w:bottom w:val="single" w:sz="4" w:space="0" w:color="000000"/>
              <w:right w:val="none" w:sz="0" w:space="0" w:color="FFFFFF"/>
            </w:tcBorders>
            <w:shd w:val="clear" w:color="auto" w:fill="FFFFFF"/>
            <w:tcMar>
              <w:top w:w="50" w:type="dxa"/>
              <w:left w:w="70" w:type="dxa"/>
              <w:bottom w:w="50" w:type="dxa"/>
              <w:right w:w="70" w:type="dxa"/>
            </w:tcMar>
          </w:tcPr>
          <w:p w14:paraId="1A860488" w14:textId="77777777" w:rsidR="00A5676C" w:rsidRDefault="00000000">
            <w:pPr>
              <w:jc w:val="center"/>
            </w:pPr>
            <w:r>
              <w:rPr>
                <w:b/>
                <w:bCs/>
                <w:sz w:val="19"/>
                <w:szCs w:val="19"/>
              </w:rPr>
              <w:t>10⁴ B</w:t>
            </w:r>
          </w:p>
        </w:tc>
        <w:tc>
          <w:tcPr>
            <w:tcW w:w="1033" w:type="dxa"/>
            <w:tcBorders>
              <w:top w:val="single" w:sz="8" w:space="0" w:color="000000"/>
              <w:left w:val="none" w:sz="0" w:space="0" w:color="FFFFFF"/>
              <w:bottom w:val="single" w:sz="4" w:space="0" w:color="000000"/>
              <w:right w:val="none" w:sz="0" w:space="0" w:color="FFFFFF"/>
            </w:tcBorders>
            <w:shd w:val="clear" w:color="auto" w:fill="FFFFFF"/>
            <w:tcMar>
              <w:top w:w="50" w:type="dxa"/>
              <w:left w:w="70" w:type="dxa"/>
              <w:bottom w:w="50" w:type="dxa"/>
              <w:right w:w="70" w:type="dxa"/>
            </w:tcMar>
          </w:tcPr>
          <w:p w14:paraId="226886F0" w14:textId="77777777" w:rsidR="00A5676C" w:rsidRDefault="00000000">
            <w:pPr>
              <w:jc w:val="center"/>
            </w:pPr>
            <w:r>
              <w:rPr>
                <w:b/>
                <w:bCs/>
                <w:sz w:val="19"/>
                <w:szCs w:val="19"/>
              </w:rPr>
              <w:t>10⁴ C</w:t>
            </w:r>
          </w:p>
        </w:tc>
        <w:tc>
          <w:tcPr>
            <w:tcW w:w="1033" w:type="dxa"/>
            <w:tcBorders>
              <w:top w:val="single" w:sz="8" w:space="0" w:color="000000"/>
              <w:left w:val="none" w:sz="0" w:space="0" w:color="FFFFFF"/>
              <w:bottom w:val="single" w:sz="4" w:space="0" w:color="000000"/>
              <w:right w:val="none" w:sz="0" w:space="0" w:color="FFFFFF"/>
            </w:tcBorders>
            <w:shd w:val="clear" w:color="auto" w:fill="FFFFFF"/>
            <w:tcMar>
              <w:top w:w="50" w:type="dxa"/>
              <w:left w:w="70" w:type="dxa"/>
              <w:bottom w:w="50" w:type="dxa"/>
              <w:right w:w="70" w:type="dxa"/>
            </w:tcMar>
          </w:tcPr>
          <w:p w14:paraId="1F0D5B23" w14:textId="77777777" w:rsidR="00A5676C" w:rsidRDefault="00000000">
            <w:pPr>
              <w:jc w:val="center"/>
            </w:pPr>
            <w:r>
              <w:rPr>
                <w:b/>
                <w:bCs/>
                <w:sz w:val="19"/>
                <w:szCs w:val="19"/>
              </w:rPr>
              <w:t>10⁵ B</w:t>
            </w:r>
          </w:p>
        </w:tc>
        <w:tc>
          <w:tcPr>
            <w:tcW w:w="1033" w:type="dxa"/>
            <w:tcBorders>
              <w:top w:val="single" w:sz="8" w:space="0" w:color="000000"/>
              <w:left w:val="none" w:sz="0" w:space="0" w:color="FFFFFF"/>
              <w:bottom w:val="single" w:sz="4" w:space="0" w:color="000000"/>
              <w:right w:val="none" w:sz="0" w:space="0" w:color="FFFFFF"/>
            </w:tcBorders>
            <w:shd w:val="clear" w:color="auto" w:fill="FFFFFF"/>
            <w:tcMar>
              <w:top w:w="50" w:type="dxa"/>
              <w:left w:w="70" w:type="dxa"/>
              <w:bottom w:w="50" w:type="dxa"/>
              <w:right w:w="70" w:type="dxa"/>
            </w:tcMar>
          </w:tcPr>
          <w:p w14:paraId="5E6E1F29" w14:textId="77777777" w:rsidR="00A5676C" w:rsidRDefault="00000000">
            <w:pPr>
              <w:jc w:val="center"/>
            </w:pPr>
            <w:r>
              <w:rPr>
                <w:b/>
                <w:bCs/>
                <w:sz w:val="19"/>
                <w:szCs w:val="19"/>
              </w:rPr>
              <w:t>10⁵ C</w:t>
            </w:r>
          </w:p>
        </w:tc>
        <w:tc>
          <w:tcPr>
            <w:tcW w:w="1034" w:type="dxa"/>
            <w:tcBorders>
              <w:top w:val="single" w:sz="8" w:space="0" w:color="000000"/>
              <w:left w:val="none" w:sz="0" w:space="0" w:color="FFFFFF"/>
              <w:bottom w:val="single" w:sz="4" w:space="0" w:color="000000"/>
              <w:right w:val="none" w:sz="0" w:space="0" w:color="FFFFFF"/>
            </w:tcBorders>
            <w:shd w:val="clear" w:color="auto" w:fill="FFFFFF"/>
            <w:tcMar>
              <w:top w:w="50" w:type="dxa"/>
              <w:left w:w="70" w:type="dxa"/>
              <w:bottom w:w="50" w:type="dxa"/>
              <w:right w:w="70" w:type="dxa"/>
            </w:tcMar>
          </w:tcPr>
          <w:p w14:paraId="41AE52BE" w14:textId="77777777" w:rsidR="00A5676C" w:rsidRDefault="00000000">
            <w:pPr>
              <w:jc w:val="center"/>
            </w:pPr>
            <w:r>
              <w:rPr>
                <w:b/>
                <w:bCs/>
                <w:sz w:val="19"/>
                <w:szCs w:val="19"/>
              </w:rPr>
              <w:t>10⁶ B</w:t>
            </w:r>
          </w:p>
        </w:tc>
        <w:tc>
          <w:tcPr>
            <w:tcW w:w="1034" w:type="dxa"/>
            <w:tcBorders>
              <w:top w:val="single" w:sz="8" w:space="0" w:color="000000"/>
              <w:left w:val="none" w:sz="0" w:space="0" w:color="FFFFFF"/>
              <w:bottom w:val="single" w:sz="4" w:space="0" w:color="000000"/>
              <w:right w:val="none" w:sz="0" w:space="0" w:color="FFFFFF"/>
            </w:tcBorders>
            <w:shd w:val="clear" w:color="auto" w:fill="FFFFFF"/>
            <w:tcMar>
              <w:top w:w="50" w:type="dxa"/>
              <w:left w:w="70" w:type="dxa"/>
              <w:bottom w:w="50" w:type="dxa"/>
              <w:right w:w="70" w:type="dxa"/>
            </w:tcMar>
          </w:tcPr>
          <w:p w14:paraId="57A91D9C" w14:textId="77777777" w:rsidR="00A5676C" w:rsidRDefault="00000000">
            <w:pPr>
              <w:jc w:val="center"/>
            </w:pPr>
            <w:r>
              <w:rPr>
                <w:b/>
                <w:bCs/>
                <w:sz w:val="19"/>
                <w:szCs w:val="19"/>
              </w:rPr>
              <w:t>10⁶ C</w:t>
            </w:r>
          </w:p>
        </w:tc>
      </w:tr>
      <w:tr w:rsidR="00A5676C" w14:paraId="6A4A78DB" w14:textId="77777777">
        <w:tblPrEx>
          <w:tblCellMar>
            <w:top w:w="0" w:type="dxa"/>
            <w:bottom w:w="0" w:type="dxa"/>
          </w:tblCellMar>
        </w:tblPrEx>
        <w:trPr>
          <w:cantSplit/>
        </w:trPr>
        <w:tc>
          <w:tcPr>
            <w:tcW w:w="2826"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2C8E824D" w14:textId="77777777" w:rsidR="00A5676C" w:rsidRDefault="00000000">
            <w:r>
              <w:rPr>
                <w:sz w:val="19"/>
                <w:szCs w:val="19"/>
              </w:rPr>
              <w:t>Q1 point lookup (customer)</w:t>
            </w:r>
          </w:p>
        </w:tc>
        <w:tc>
          <w:tcPr>
            <w:tcW w:w="1033"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722995F1" w14:textId="77777777" w:rsidR="00A5676C" w:rsidRDefault="00000000">
            <w:pPr>
              <w:jc w:val="center"/>
            </w:pPr>
            <w:r>
              <w:rPr>
                <w:sz w:val="19"/>
                <w:szCs w:val="19"/>
              </w:rPr>
              <w:t>20.6×</w:t>
            </w:r>
          </w:p>
        </w:tc>
        <w:tc>
          <w:tcPr>
            <w:tcW w:w="1033"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406A33D0" w14:textId="77777777" w:rsidR="00A5676C" w:rsidRDefault="00000000">
            <w:pPr>
              <w:jc w:val="center"/>
            </w:pPr>
            <w:r>
              <w:rPr>
                <w:sz w:val="19"/>
                <w:szCs w:val="19"/>
              </w:rPr>
              <w:t>19.8×</w:t>
            </w:r>
          </w:p>
        </w:tc>
        <w:tc>
          <w:tcPr>
            <w:tcW w:w="1033"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455296BE" w14:textId="77777777" w:rsidR="00A5676C" w:rsidRDefault="00000000">
            <w:pPr>
              <w:jc w:val="center"/>
            </w:pPr>
            <w:r>
              <w:rPr>
                <w:sz w:val="19"/>
                <w:szCs w:val="19"/>
              </w:rPr>
              <w:t>140×</w:t>
            </w:r>
          </w:p>
        </w:tc>
        <w:tc>
          <w:tcPr>
            <w:tcW w:w="1033"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0C6DCB3F" w14:textId="77777777" w:rsidR="00A5676C" w:rsidRDefault="00000000">
            <w:pPr>
              <w:jc w:val="center"/>
            </w:pPr>
            <w:r>
              <w:rPr>
                <w:sz w:val="19"/>
                <w:szCs w:val="19"/>
              </w:rPr>
              <w:t>157×</w:t>
            </w:r>
          </w:p>
        </w:tc>
        <w:tc>
          <w:tcPr>
            <w:tcW w:w="1034"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6B1AE9A7" w14:textId="77777777" w:rsidR="00A5676C" w:rsidRDefault="00000000">
            <w:pPr>
              <w:jc w:val="center"/>
            </w:pPr>
            <w:r>
              <w:rPr>
                <w:sz w:val="19"/>
                <w:szCs w:val="19"/>
              </w:rPr>
              <w:t>1,155×</w:t>
            </w:r>
          </w:p>
        </w:tc>
        <w:tc>
          <w:tcPr>
            <w:tcW w:w="1034"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0282AD99" w14:textId="77777777" w:rsidR="00A5676C" w:rsidRDefault="00000000">
            <w:pPr>
              <w:jc w:val="center"/>
            </w:pPr>
            <w:r>
              <w:rPr>
                <w:sz w:val="19"/>
                <w:szCs w:val="19"/>
              </w:rPr>
              <w:t>1,164×</w:t>
            </w:r>
          </w:p>
        </w:tc>
      </w:tr>
      <w:tr w:rsidR="00A5676C" w14:paraId="72294282" w14:textId="77777777">
        <w:tblPrEx>
          <w:tblCellMar>
            <w:top w:w="0" w:type="dxa"/>
            <w:bottom w:w="0" w:type="dxa"/>
          </w:tblCellMar>
        </w:tblPrEx>
        <w:trPr>
          <w:cantSplit/>
        </w:trPr>
        <w:tc>
          <w:tcPr>
            <w:tcW w:w="2826"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460B6531" w14:textId="77777777" w:rsidR="00A5676C" w:rsidRDefault="00000000">
            <w:r>
              <w:rPr>
                <w:sz w:val="19"/>
                <w:szCs w:val="19"/>
              </w:rPr>
              <w:t>Q2 range aggregate (30 days)</w:t>
            </w:r>
          </w:p>
        </w:tc>
        <w:tc>
          <w:tcPr>
            <w:tcW w:w="1033"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3E35EE67" w14:textId="77777777" w:rsidR="00A5676C" w:rsidRDefault="00000000">
            <w:pPr>
              <w:jc w:val="center"/>
            </w:pPr>
            <w:r>
              <w:rPr>
                <w:sz w:val="19"/>
                <w:szCs w:val="19"/>
              </w:rPr>
              <w:t>5.1×</w:t>
            </w:r>
          </w:p>
        </w:tc>
        <w:tc>
          <w:tcPr>
            <w:tcW w:w="1033"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3607CAF2" w14:textId="77777777" w:rsidR="00A5676C" w:rsidRDefault="00000000">
            <w:pPr>
              <w:jc w:val="center"/>
            </w:pPr>
            <w:r>
              <w:rPr>
                <w:sz w:val="19"/>
                <w:szCs w:val="19"/>
              </w:rPr>
              <w:t>18.7×</w:t>
            </w:r>
          </w:p>
        </w:tc>
        <w:tc>
          <w:tcPr>
            <w:tcW w:w="1033"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64018479" w14:textId="77777777" w:rsidR="00A5676C" w:rsidRDefault="00000000">
            <w:pPr>
              <w:jc w:val="center"/>
            </w:pPr>
            <w:r>
              <w:rPr>
                <w:sz w:val="19"/>
                <w:szCs w:val="19"/>
              </w:rPr>
              <w:t>2.3×</w:t>
            </w:r>
          </w:p>
        </w:tc>
        <w:tc>
          <w:tcPr>
            <w:tcW w:w="1033"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2943F8A4" w14:textId="77777777" w:rsidR="00A5676C" w:rsidRDefault="00000000">
            <w:pPr>
              <w:jc w:val="center"/>
            </w:pPr>
            <w:r>
              <w:rPr>
                <w:sz w:val="19"/>
                <w:szCs w:val="19"/>
              </w:rPr>
              <w:t>26.1×</w:t>
            </w:r>
          </w:p>
        </w:tc>
        <w:tc>
          <w:tcPr>
            <w:tcW w:w="1034"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2FA66786" w14:textId="77777777" w:rsidR="00A5676C" w:rsidRDefault="00000000">
            <w:pPr>
              <w:jc w:val="center"/>
            </w:pPr>
            <w:r>
              <w:rPr>
                <w:sz w:val="19"/>
                <w:szCs w:val="19"/>
              </w:rPr>
              <w:t>1.3×</w:t>
            </w:r>
          </w:p>
        </w:tc>
        <w:tc>
          <w:tcPr>
            <w:tcW w:w="1034"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1DDE3F25" w14:textId="77777777" w:rsidR="00A5676C" w:rsidRDefault="00000000">
            <w:pPr>
              <w:jc w:val="center"/>
            </w:pPr>
            <w:r>
              <w:rPr>
                <w:sz w:val="19"/>
                <w:szCs w:val="19"/>
              </w:rPr>
              <w:t>26.6×</w:t>
            </w:r>
          </w:p>
        </w:tc>
      </w:tr>
      <w:tr w:rsidR="00A5676C" w14:paraId="0F299B6E" w14:textId="77777777">
        <w:tblPrEx>
          <w:tblCellMar>
            <w:top w:w="0" w:type="dxa"/>
            <w:bottom w:w="0" w:type="dxa"/>
          </w:tblCellMar>
        </w:tblPrEx>
        <w:trPr>
          <w:cantSplit/>
        </w:trPr>
        <w:tc>
          <w:tcPr>
            <w:tcW w:w="2826"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33E96DCA" w14:textId="77777777" w:rsidR="00A5676C" w:rsidRDefault="00000000">
            <w:r>
              <w:rPr>
                <w:sz w:val="19"/>
                <w:szCs w:val="19"/>
              </w:rPr>
              <w:t>Q3 multi-predicate</w:t>
            </w:r>
          </w:p>
        </w:tc>
        <w:tc>
          <w:tcPr>
            <w:tcW w:w="1033"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1D259BE7" w14:textId="77777777" w:rsidR="00A5676C" w:rsidRDefault="00000000">
            <w:pPr>
              <w:jc w:val="center"/>
            </w:pPr>
            <w:r>
              <w:rPr>
                <w:sz w:val="19"/>
                <w:szCs w:val="19"/>
              </w:rPr>
              <w:t>27.4×</w:t>
            </w:r>
          </w:p>
        </w:tc>
        <w:tc>
          <w:tcPr>
            <w:tcW w:w="1033"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46DAA544" w14:textId="77777777" w:rsidR="00A5676C" w:rsidRDefault="00000000">
            <w:pPr>
              <w:jc w:val="center"/>
            </w:pPr>
            <w:r>
              <w:rPr>
                <w:sz w:val="19"/>
                <w:szCs w:val="19"/>
              </w:rPr>
              <w:t>72.5×</w:t>
            </w:r>
          </w:p>
        </w:tc>
        <w:tc>
          <w:tcPr>
            <w:tcW w:w="1033"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4D02EBF5" w14:textId="77777777" w:rsidR="00A5676C" w:rsidRDefault="00000000">
            <w:pPr>
              <w:jc w:val="center"/>
            </w:pPr>
            <w:r>
              <w:rPr>
                <w:sz w:val="19"/>
                <w:szCs w:val="19"/>
              </w:rPr>
              <w:t>13.6×</w:t>
            </w:r>
          </w:p>
        </w:tc>
        <w:tc>
          <w:tcPr>
            <w:tcW w:w="1033"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0422F012" w14:textId="77777777" w:rsidR="00A5676C" w:rsidRDefault="00000000">
            <w:pPr>
              <w:jc w:val="center"/>
            </w:pPr>
            <w:r>
              <w:rPr>
                <w:sz w:val="19"/>
                <w:szCs w:val="19"/>
              </w:rPr>
              <w:t>126×</w:t>
            </w:r>
          </w:p>
        </w:tc>
        <w:tc>
          <w:tcPr>
            <w:tcW w:w="1034"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4B60A2C1" w14:textId="77777777" w:rsidR="00A5676C" w:rsidRDefault="00000000">
            <w:pPr>
              <w:jc w:val="center"/>
            </w:pPr>
            <w:r>
              <w:rPr>
                <w:sz w:val="19"/>
                <w:szCs w:val="19"/>
              </w:rPr>
              <w:t>7.5×</w:t>
            </w:r>
          </w:p>
        </w:tc>
        <w:tc>
          <w:tcPr>
            <w:tcW w:w="1034"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55509323" w14:textId="77777777" w:rsidR="00A5676C" w:rsidRDefault="00000000">
            <w:pPr>
              <w:jc w:val="center"/>
            </w:pPr>
            <w:r>
              <w:rPr>
                <w:sz w:val="19"/>
                <w:szCs w:val="19"/>
              </w:rPr>
              <w:t>127×</w:t>
            </w:r>
          </w:p>
        </w:tc>
      </w:tr>
      <w:tr w:rsidR="00A5676C" w14:paraId="6C1FB985" w14:textId="77777777">
        <w:tblPrEx>
          <w:tblCellMar>
            <w:top w:w="0" w:type="dxa"/>
            <w:bottom w:w="0" w:type="dxa"/>
          </w:tblCellMar>
        </w:tblPrEx>
        <w:trPr>
          <w:cantSplit/>
        </w:trPr>
        <w:tc>
          <w:tcPr>
            <w:tcW w:w="2826"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4A3C8C26" w14:textId="77777777" w:rsidR="00A5676C" w:rsidRDefault="00000000">
            <w:r>
              <w:rPr>
                <w:sz w:val="19"/>
                <w:szCs w:val="19"/>
              </w:rPr>
              <w:t>Q4 join + group</w:t>
            </w:r>
          </w:p>
        </w:tc>
        <w:tc>
          <w:tcPr>
            <w:tcW w:w="1033"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0FD968B2" w14:textId="77777777" w:rsidR="00A5676C" w:rsidRDefault="00000000">
            <w:pPr>
              <w:jc w:val="center"/>
            </w:pPr>
            <w:r>
              <w:rPr>
                <w:sz w:val="19"/>
                <w:szCs w:val="19"/>
              </w:rPr>
              <w:t>14.4×</w:t>
            </w:r>
          </w:p>
        </w:tc>
        <w:tc>
          <w:tcPr>
            <w:tcW w:w="1033"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229234CE" w14:textId="77777777" w:rsidR="00A5676C" w:rsidRDefault="00000000">
            <w:pPr>
              <w:jc w:val="center"/>
            </w:pPr>
            <w:r>
              <w:rPr>
                <w:sz w:val="19"/>
                <w:szCs w:val="19"/>
              </w:rPr>
              <w:t>13.7×</w:t>
            </w:r>
          </w:p>
        </w:tc>
        <w:tc>
          <w:tcPr>
            <w:tcW w:w="1033"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5E0088E4" w14:textId="77777777" w:rsidR="00A5676C" w:rsidRDefault="00000000">
            <w:pPr>
              <w:jc w:val="center"/>
            </w:pPr>
            <w:r>
              <w:rPr>
                <w:sz w:val="19"/>
                <w:szCs w:val="19"/>
              </w:rPr>
              <w:t>7.2×</w:t>
            </w:r>
          </w:p>
        </w:tc>
        <w:tc>
          <w:tcPr>
            <w:tcW w:w="1033"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55908CA9" w14:textId="77777777" w:rsidR="00A5676C" w:rsidRDefault="00000000">
            <w:pPr>
              <w:jc w:val="center"/>
            </w:pPr>
            <w:r>
              <w:rPr>
                <w:sz w:val="19"/>
                <w:szCs w:val="19"/>
              </w:rPr>
              <w:t>6.4×</w:t>
            </w:r>
          </w:p>
        </w:tc>
        <w:tc>
          <w:tcPr>
            <w:tcW w:w="1034"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25711693" w14:textId="77777777" w:rsidR="00A5676C" w:rsidRDefault="00000000">
            <w:pPr>
              <w:jc w:val="center"/>
            </w:pPr>
            <w:r>
              <w:rPr>
                <w:sz w:val="19"/>
                <w:szCs w:val="19"/>
              </w:rPr>
              <w:t>4.1×</w:t>
            </w:r>
          </w:p>
        </w:tc>
        <w:tc>
          <w:tcPr>
            <w:tcW w:w="1034"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7E7BBD72" w14:textId="77777777" w:rsidR="00A5676C" w:rsidRDefault="00000000">
            <w:pPr>
              <w:jc w:val="center"/>
            </w:pPr>
            <w:r>
              <w:rPr>
                <w:sz w:val="19"/>
                <w:szCs w:val="19"/>
              </w:rPr>
              <w:t>3.6×</w:t>
            </w:r>
          </w:p>
        </w:tc>
      </w:tr>
      <w:tr w:rsidR="00A5676C" w14:paraId="6B3C589D" w14:textId="77777777">
        <w:tblPrEx>
          <w:tblCellMar>
            <w:top w:w="0" w:type="dxa"/>
            <w:bottom w:w="0" w:type="dxa"/>
          </w:tblCellMar>
        </w:tblPrEx>
        <w:trPr>
          <w:cantSplit/>
        </w:trPr>
        <w:tc>
          <w:tcPr>
            <w:tcW w:w="2826" w:type="dxa"/>
            <w:tcBorders>
              <w:top w:val="none" w:sz="0" w:space="0" w:color="FFFFFF"/>
              <w:left w:val="none" w:sz="0" w:space="0" w:color="FFFFFF"/>
              <w:bottom w:val="single" w:sz="8" w:space="0" w:color="000000"/>
              <w:right w:val="none" w:sz="0" w:space="0" w:color="FFFFFF"/>
            </w:tcBorders>
            <w:shd w:val="clear" w:color="auto" w:fill="FFFFFF"/>
            <w:tcMar>
              <w:top w:w="50" w:type="dxa"/>
              <w:left w:w="70" w:type="dxa"/>
              <w:bottom w:w="50" w:type="dxa"/>
              <w:right w:w="70" w:type="dxa"/>
            </w:tcMar>
          </w:tcPr>
          <w:p w14:paraId="181D0DF1" w14:textId="77777777" w:rsidR="00A5676C" w:rsidRDefault="00000000">
            <w:r>
              <w:rPr>
                <w:sz w:val="19"/>
                <w:szCs w:val="19"/>
              </w:rPr>
              <w:t>Q5 top-5 per customer</w:t>
            </w:r>
          </w:p>
        </w:tc>
        <w:tc>
          <w:tcPr>
            <w:tcW w:w="1033" w:type="dxa"/>
            <w:tcBorders>
              <w:top w:val="none" w:sz="0" w:space="0" w:color="FFFFFF"/>
              <w:left w:val="none" w:sz="0" w:space="0" w:color="FFFFFF"/>
              <w:bottom w:val="single" w:sz="8" w:space="0" w:color="000000"/>
              <w:right w:val="none" w:sz="0" w:space="0" w:color="FFFFFF"/>
            </w:tcBorders>
            <w:shd w:val="clear" w:color="auto" w:fill="FFFFFF"/>
            <w:tcMar>
              <w:top w:w="50" w:type="dxa"/>
              <w:left w:w="70" w:type="dxa"/>
              <w:bottom w:w="50" w:type="dxa"/>
              <w:right w:w="70" w:type="dxa"/>
            </w:tcMar>
          </w:tcPr>
          <w:p w14:paraId="2DAC9C4F" w14:textId="77777777" w:rsidR="00A5676C" w:rsidRDefault="00000000">
            <w:pPr>
              <w:jc w:val="center"/>
            </w:pPr>
            <w:r>
              <w:rPr>
                <w:sz w:val="19"/>
                <w:szCs w:val="19"/>
              </w:rPr>
              <w:t>32.1×</w:t>
            </w:r>
          </w:p>
        </w:tc>
        <w:tc>
          <w:tcPr>
            <w:tcW w:w="1033" w:type="dxa"/>
            <w:tcBorders>
              <w:top w:val="none" w:sz="0" w:space="0" w:color="FFFFFF"/>
              <w:left w:val="none" w:sz="0" w:space="0" w:color="FFFFFF"/>
              <w:bottom w:val="single" w:sz="8" w:space="0" w:color="000000"/>
              <w:right w:val="none" w:sz="0" w:space="0" w:color="FFFFFF"/>
            </w:tcBorders>
            <w:shd w:val="clear" w:color="auto" w:fill="FFFFFF"/>
            <w:tcMar>
              <w:top w:w="50" w:type="dxa"/>
              <w:left w:w="70" w:type="dxa"/>
              <w:bottom w:w="50" w:type="dxa"/>
              <w:right w:w="70" w:type="dxa"/>
            </w:tcMar>
          </w:tcPr>
          <w:p w14:paraId="51F560A9" w14:textId="77777777" w:rsidR="00A5676C" w:rsidRDefault="00000000">
            <w:pPr>
              <w:jc w:val="center"/>
            </w:pPr>
            <w:r>
              <w:rPr>
                <w:sz w:val="19"/>
                <w:szCs w:val="19"/>
              </w:rPr>
              <w:t>58.5×</w:t>
            </w:r>
          </w:p>
        </w:tc>
        <w:tc>
          <w:tcPr>
            <w:tcW w:w="1033" w:type="dxa"/>
            <w:tcBorders>
              <w:top w:val="none" w:sz="0" w:space="0" w:color="FFFFFF"/>
              <w:left w:val="none" w:sz="0" w:space="0" w:color="FFFFFF"/>
              <w:bottom w:val="single" w:sz="8" w:space="0" w:color="000000"/>
              <w:right w:val="none" w:sz="0" w:space="0" w:color="FFFFFF"/>
            </w:tcBorders>
            <w:shd w:val="clear" w:color="auto" w:fill="FFFFFF"/>
            <w:tcMar>
              <w:top w:w="50" w:type="dxa"/>
              <w:left w:w="70" w:type="dxa"/>
              <w:bottom w:w="50" w:type="dxa"/>
              <w:right w:w="70" w:type="dxa"/>
            </w:tcMar>
          </w:tcPr>
          <w:p w14:paraId="4D8A04B1" w14:textId="77777777" w:rsidR="00A5676C" w:rsidRDefault="00000000">
            <w:pPr>
              <w:jc w:val="center"/>
            </w:pPr>
            <w:r>
              <w:rPr>
                <w:sz w:val="19"/>
                <w:szCs w:val="19"/>
              </w:rPr>
              <w:t>298×</w:t>
            </w:r>
          </w:p>
        </w:tc>
        <w:tc>
          <w:tcPr>
            <w:tcW w:w="1033" w:type="dxa"/>
            <w:tcBorders>
              <w:top w:val="none" w:sz="0" w:space="0" w:color="FFFFFF"/>
              <w:left w:val="none" w:sz="0" w:space="0" w:color="FFFFFF"/>
              <w:bottom w:val="single" w:sz="8" w:space="0" w:color="000000"/>
              <w:right w:val="none" w:sz="0" w:space="0" w:color="FFFFFF"/>
            </w:tcBorders>
            <w:shd w:val="clear" w:color="auto" w:fill="FFFFFF"/>
            <w:tcMar>
              <w:top w:w="50" w:type="dxa"/>
              <w:left w:w="70" w:type="dxa"/>
              <w:bottom w:w="50" w:type="dxa"/>
              <w:right w:w="70" w:type="dxa"/>
            </w:tcMar>
          </w:tcPr>
          <w:p w14:paraId="42E2D736" w14:textId="77777777" w:rsidR="00A5676C" w:rsidRDefault="00000000">
            <w:pPr>
              <w:jc w:val="center"/>
            </w:pPr>
            <w:r>
              <w:rPr>
                <w:sz w:val="19"/>
                <w:szCs w:val="19"/>
              </w:rPr>
              <w:t>522×</w:t>
            </w:r>
          </w:p>
        </w:tc>
        <w:tc>
          <w:tcPr>
            <w:tcW w:w="1034" w:type="dxa"/>
            <w:tcBorders>
              <w:top w:val="none" w:sz="0" w:space="0" w:color="FFFFFF"/>
              <w:left w:val="none" w:sz="0" w:space="0" w:color="FFFFFF"/>
              <w:bottom w:val="single" w:sz="8" w:space="0" w:color="000000"/>
              <w:right w:val="none" w:sz="0" w:space="0" w:color="FFFFFF"/>
            </w:tcBorders>
            <w:shd w:val="clear" w:color="auto" w:fill="FFFFFF"/>
            <w:tcMar>
              <w:top w:w="50" w:type="dxa"/>
              <w:left w:w="70" w:type="dxa"/>
              <w:bottom w:w="50" w:type="dxa"/>
              <w:right w:w="70" w:type="dxa"/>
            </w:tcMar>
          </w:tcPr>
          <w:p w14:paraId="13671573" w14:textId="77777777" w:rsidR="00A5676C" w:rsidRDefault="00000000">
            <w:pPr>
              <w:jc w:val="center"/>
            </w:pPr>
            <w:r>
              <w:rPr>
                <w:sz w:val="19"/>
                <w:szCs w:val="19"/>
              </w:rPr>
              <w:t>1,417×</w:t>
            </w:r>
          </w:p>
        </w:tc>
        <w:tc>
          <w:tcPr>
            <w:tcW w:w="1034" w:type="dxa"/>
            <w:tcBorders>
              <w:top w:val="none" w:sz="0" w:space="0" w:color="FFFFFF"/>
              <w:left w:val="none" w:sz="0" w:space="0" w:color="FFFFFF"/>
              <w:bottom w:val="single" w:sz="8" w:space="0" w:color="000000"/>
              <w:right w:val="none" w:sz="0" w:space="0" w:color="FFFFFF"/>
            </w:tcBorders>
            <w:shd w:val="clear" w:color="auto" w:fill="FFFFFF"/>
            <w:tcMar>
              <w:top w:w="50" w:type="dxa"/>
              <w:left w:w="70" w:type="dxa"/>
              <w:bottom w:w="50" w:type="dxa"/>
              <w:right w:w="70" w:type="dxa"/>
            </w:tcMar>
          </w:tcPr>
          <w:p w14:paraId="74AEA6A7" w14:textId="77777777" w:rsidR="00A5676C" w:rsidRDefault="00000000">
            <w:pPr>
              <w:jc w:val="center"/>
            </w:pPr>
            <w:r>
              <w:rPr>
                <w:sz w:val="19"/>
                <w:szCs w:val="19"/>
              </w:rPr>
              <w:t>2,621×</w:t>
            </w:r>
          </w:p>
        </w:tc>
      </w:tr>
    </w:tbl>
    <w:p w14:paraId="05207A4C" w14:textId="77777777" w:rsidR="00A5676C" w:rsidRDefault="00A5676C">
      <w:pPr>
        <w:spacing w:after="60" w:line="276" w:lineRule="auto"/>
        <w:jc w:val="both"/>
      </w:pPr>
    </w:p>
    <w:p w14:paraId="4A006171" w14:textId="77777777" w:rsidR="00A5676C" w:rsidRDefault="00000000">
      <w:pPr>
        <w:pStyle w:val="Heading2"/>
        <w:keepNext/>
      </w:pPr>
      <w:r>
        <w:t>3.3 Storage, build time, and write throughput</w:t>
      </w:r>
    </w:p>
    <w:p w14:paraId="0BA70FDC" w14:textId="77777777" w:rsidR="00A5676C" w:rsidRDefault="00000000">
      <w:pPr>
        <w:spacing w:after="120" w:line="276" w:lineRule="auto"/>
        <w:jc w:val="both"/>
      </w:pPr>
      <w:r>
        <w:t>Table 3 summarizes the costs. At one million rows the database file grew from 34.0 MB without secondary indexes to 71.9 MB with single-column indexes (2.1 times) and 95.7 MB with composite indexes (2.8 times). Building the indexes on the loaded table took 1.40 s and 2.45 s respectively.</w:t>
      </w:r>
    </w:p>
    <w:p w14:paraId="23181C4D" w14:textId="77777777" w:rsidR="00A5676C" w:rsidRDefault="00000000">
      <w:pPr>
        <w:keepNext/>
        <w:spacing w:before="160" w:after="100"/>
        <w:jc w:val="center"/>
      </w:pPr>
      <w:r>
        <w:rPr>
          <w:b/>
          <w:bCs/>
          <w:sz w:val="20"/>
          <w:szCs w:val="20"/>
        </w:rPr>
        <w:t xml:space="preserve">Table 3. </w:t>
      </w:r>
      <w:r>
        <w:rPr>
          <w:sz w:val="20"/>
          <w:szCs w:val="20"/>
        </w:rPr>
        <w:t>Storage, index build time, and sustained insert throughput by table size and configuration (batches of 5,000 rows; median of six batches)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400"/>
        <w:gridCol w:w="1900"/>
        <w:gridCol w:w="2000"/>
        <w:gridCol w:w="2026"/>
      </w:tblGrid>
      <w:tr w:rsidR="00A5676C" w14:paraId="51E62C15" w14:textId="77777777">
        <w:tblPrEx>
          <w:tblCellMar>
            <w:top w:w="0" w:type="dxa"/>
            <w:bottom w:w="0" w:type="dxa"/>
          </w:tblCellMar>
        </w:tblPrEx>
        <w:trPr>
          <w:tblHeader/>
        </w:trPr>
        <w:tc>
          <w:tcPr>
            <w:tcW w:w="1700" w:type="dxa"/>
            <w:tcBorders>
              <w:top w:val="single" w:sz="8" w:space="0" w:color="000000"/>
              <w:left w:val="none" w:sz="0" w:space="0" w:color="FFFFFF"/>
              <w:bottom w:val="single" w:sz="4" w:space="0" w:color="000000"/>
              <w:right w:val="none" w:sz="0" w:space="0" w:color="FFFFFF"/>
            </w:tcBorders>
            <w:shd w:val="clear" w:color="auto" w:fill="FFFFFF"/>
            <w:tcMar>
              <w:top w:w="50" w:type="dxa"/>
              <w:left w:w="70" w:type="dxa"/>
              <w:bottom w:w="50" w:type="dxa"/>
              <w:right w:w="70" w:type="dxa"/>
            </w:tcMar>
          </w:tcPr>
          <w:p w14:paraId="6F028458" w14:textId="77777777" w:rsidR="00A5676C" w:rsidRDefault="00000000">
            <w:r>
              <w:rPr>
                <w:b/>
                <w:bCs/>
                <w:sz w:val="19"/>
                <w:szCs w:val="19"/>
              </w:rPr>
              <w:t>Rows</w:t>
            </w:r>
          </w:p>
        </w:tc>
        <w:tc>
          <w:tcPr>
            <w:tcW w:w="1400" w:type="dxa"/>
            <w:tcBorders>
              <w:top w:val="single" w:sz="8" w:space="0" w:color="000000"/>
              <w:left w:val="none" w:sz="0" w:space="0" w:color="FFFFFF"/>
              <w:bottom w:val="single" w:sz="4" w:space="0" w:color="000000"/>
              <w:right w:val="none" w:sz="0" w:space="0" w:color="FFFFFF"/>
            </w:tcBorders>
            <w:shd w:val="clear" w:color="auto" w:fill="FFFFFF"/>
            <w:tcMar>
              <w:top w:w="50" w:type="dxa"/>
              <w:left w:w="70" w:type="dxa"/>
              <w:bottom w:w="50" w:type="dxa"/>
              <w:right w:w="70" w:type="dxa"/>
            </w:tcMar>
          </w:tcPr>
          <w:p w14:paraId="4E9C2405" w14:textId="77777777" w:rsidR="00A5676C" w:rsidRDefault="00000000">
            <w:pPr>
              <w:jc w:val="center"/>
            </w:pPr>
            <w:r>
              <w:rPr>
                <w:b/>
                <w:bCs/>
                <w:sz w:val="19"/>
                <w:szCs w:val="19"/>
              </w:rPr>
              <w:t>Config.</w:t>
            </w:r>
          </w:p>
        </w:tc>
        <w:tc>
          <w:tcPr>
            <w:tcW w:w="1900" w:type="dxa"/>
            <w:tcBorders>
              <w:top w:val="single" w:sz="8" w:space="0" w:color="000000"/>
              <w:left w:val="none" w:sz="0" w:space="0" w:color="FFFFFF"/>
              <w:bottom w:val="single" w:sz="4" w:space="0" w:color="000000"/>
              <w:right w:val="none" w:sz="0" w:space="0" w:color="FFFFFF"/>
            </w:tcBorders>
            <w:shd w:val="clear" w:color="auto" w:fill="FFFFFF"/>
            <w:tcMar>
              <w:top w:w="50" w:type="dxa"/>
              <w:left w:w="70" w:type="dxa"/>
              <w:bottom w:w="50" w:type="dxa"/>
              <w:right w:w="70" w:type="dxa"/>
            </w:tcMar>
          </w:tcPr>
          <w:p w14:paraId="571EBDFD" w14:textId="77777777" w:rsidR="00A5676C" w:rsidRDefault="00000000">
            <w:pPr>
              <w:jc w:val="center"/>
            </w:pPr>
            <w:r>
              <w:rPr>
                <w:b/>
                <w:bCs/>
                <w:sz w:val="19"/>
                <w:szCs w:val="19"/>
              </w:rPr>
              <w:t>DB size (MB)</w:t>
            </w:r>
          </w:p>
        </w:tc>
        <w:tc>
          <w:tcPr>
            <w:tcW w:w="2000" w:type="dxa"/>
            <w:tcBorders>
              <w:top w:val="single" w:sz="8" w:space="0" w:color="000000"/>
              <w:left w:val="none" w:sz="0" w:space="0" w:color="FFFFFF"/>
              <w:bottom w:val="single" w:sz="4" w:space="0" w:color="000000"/>
              <w:right w:val="none" w:sz="0" w:space="0" w:color="FFFFFF"/>
            </w:tcBorders>
            <w:shd w:val="clear" w:color="auto" w:fill="FFFFFF"/>
            <w:tcMar>
              <w:top w:w="50" w:type="dxa"/>
              <w:left w:w="70" w:type="dxa"/>
              <w:bottom w:w="50" w:type="dxa"/>
              <w:right w:w="70" w:type="dxa"/>
            </w:tcMar>
          </w:tcPr>
          <w:p w14:paraId="516B7B82" w14:textId="77777777" w:rsidR="00A5676C" w:rsidRDefault="00000000">
            <w:pPr>
              <w:jc w:val="center"/>
            </w:pPr>
            <w:r>
              <w:rPr>
                <w:b/>
                <w:bCs/>
                <w:sz w:val="19"/>
                <w:szCs w:val="19"/>
              </w:rPr>
              <w:t>Index build (s)</w:t>
            </w:r>
          </w:p>
        </w:tc>
        <w:tc>
          <w:tcPr>
            <w:tcW w:w="2026" w:type="dxa"/>
            <w:tcBorders>
              <w:top w:val="single" w:sz="8" w:space="0" w:color="000000"/>
              <w:left w:val="none" w:sz="0" w:space="0" w:color="FFFFFF"/>
              <w:bottom w:val="single" w:sz="4" w:space="0" w:color="000000"/>
              <w:right w:val="none" w:sz="0" w:space="0" w:color="FFFFFF"/>
            </w:tcBorders>
            <w:shd w:val="clear" w:color="auto" w:fill="FFFFFF"/>
            <w:tcMar>
              <w:top w:w="50" w:type="dxa"/>
              <w:left w:w="70" w:type="dxa"/>
              <w:bottom w:w="50" w:type="dxa"/>
              <w:right w:w="70" w:type="dxa"/>
            </w:tcMar>
          </w:tcPr>
          <w:p w14:paraId="236E19F2" w14:textId="77777777" w:rsidR="00A5676C" w:rsidRDefault="00000000">
            <w:pPr>
              <w:jc w:val="center"/>
            </w:pPr>
            <w:r>
              <w:rPr>
                <w:b/>
                <w:bCs/>
                <w:sz w:val="19"/>
                <w:szCs w:val="19"/>
              </w:rPr>
              <w:t>Insert (rows/s)</w:t>
            </w:r>
          </w:p>
        </w:tc>
      </w:tr>
      <w:tr w:rsidR="00A5676C" w14:paraId="1499165A" w14:textId="77777777">
        <w:tblPrEx>
          <w:tblCellMar>
            <w:top w:w="0" w:type="dxa"/>
            <w:bottom w:w="0" w:type="dxa"/>
          </w:tblCellMar>
        </w:tblPrEx>
        <w:trPr>
          <w:cantSplit/>
        </w:trPr>
        <w:tc>
          <w:tcPr>
            <w:tcW w:w="170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0636134D" w14:textId="77777777" w:rsidR="00A5676C" w:rsidRDefault="00000000">
            <w:r>
              <w:rPr>
                <w:sz w:val="19"/>
                <w:szCs w:val="19"/>
              </w:rPr>
              <w:t>10,000</w:t>
            </w:r>
          </w:p>
        </w:tc>
        <w:tc>
          <w:tcPr>
            <w:tcW w:w="140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638F1323" w14:textId="77777777" w:rsidR="00A5676C" w:rsidRDefault="00000000">
            <w:pPr>
              <w:jc w:val="center"/>
            </w:pPr>
            <w:r>
              <w:rPr>
                <w:sz w:val="19"/>
                <w:szCs w:val="19"/>
              </w:rPr>
              <w:t>A</w:t>
            </w:r>
          </w:p>
        </w:tc>
        <w:tc>
          <w:tcPr>
            <w:tcW w:w="190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02DE1F54" w14:textId="77777777" w:rsidR="00A5676C" w:rsidRDefault="00000000">
            <w:pPr>
              <w:jc w:val="center"/>
            </w:pPr>
            <w:r>
              <w:rPr>
                <w:sz w:val="19"/>
                <w:szCs w:val="19"/>
              </w:rPr>
              <w:t>0.3</w:t>
            </w:r>
          </w:p>
        </w:tc>
        <w:tc>
          <w:tcPr>
            <w:tcW w:w="200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1E64856D" w14:textId="77777777" w:rsidR="00A5676C" w:rsidRDefault="00000000">
            <w:pPr>
              <w:jc w:val="center"/>
            </w:pPr>
            <w:r>
              <w:rPr>
                <w:sz w:val="19"/>
                <w:szCs w:val="19"/>
              </w:rPr>
              <w:t>—</w:t>
            </w:r>
          </w:p>
        </w:tc>
        <w:tc>
          <w:tcPr>
            <w:tcW w:w="2026"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115F6B03" w14:textId="77777777" w:rsidR="00A5676C" w:rsidRDefault="00000000">
            <w:pPr>
              <w:jc w:val="center"/>
            </w:pPr>
            <w:r>
              <w:rPr>
                <w:sz w:val="19"/>
                <w:szCs w:val="19"/>
              </w:rPr>
              <w:t>626,647</w:t>
            </w:r>
          </w:p>
        </w:tc>
      </w:tr>
      <w:tr w:rsidR="00A5676C" w14:paraId="25C78602" w14:textId="77777777">
        <w:tblPrEx>
          <w:tblCellMar>
            <w:top w:w="0" w:type="dxa"/>
            <w:bottom w:w="0" w:type="dxa"/>
          </w:tblCellMar>
        </w:tblPrEx>
        <w:trPr>
          <w:cantSplit/>
        </w:trPr>
        <w:tc>
          <w:tcPr>
            <w:tcW w:w="170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4FFB4061" w14:textId="77777777" w:rsidR="00A5676C" w:rsidRDefault="00A5676C"/>
        </w:tc>
        <w:tc>
          <w:tcPr>
            <w:tcW w:w="140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74E1A03A" w14:textId="77777777" w:rsidR="00A5676C" w:rsidRDefault="00000000">
            <w:pPr>
              <w:jc w:val="center"/>
            </w:pPr>
            <w:r>
              <w:rPr>
                <w:sz w:val="19"/>
                <w:szCs w:val="19"/>
              </w:rPr>
              <w:t>B</w:t>
            </w:r>
          </w:p>
        </w:tc>
        <w:tc>
          <w:tcPr>
            <w:tcW w:w="190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0ECCCCDB" w14:textId="77777777" w:rsidR="00A5676C" w:rsidRDefault="00000000">
            <w:pPr>
              <w:jc w:val="center"/>
            </w:pPr>
            <w:r>
              <w:rPr>
                <w:sz w:val="19"/>
                <w:szCs w:val="19"/>
              </w:rPr>
              <w:t>0.7</w:t>
            </w:r>
          </w:p>
        </w:tc>
        <w:tc>
          <w:tcPr>
            <w:tcW w:w="200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61DBA3BB" w14:textId="77777777" w:rsidR="00A5676C" w:rsidRDefault="00000000">
            <w:pPr>
              <w:jc w:val="center"/>
            </w:pPr>
            <w:r>
              <w:rPr>
                <w:sz w:val="19"/>
                <w:szCs w:val="19"/>
              </w:rPr>
              <w:t>0.02</w:t>
            </w:r>
          </w:p>
        </w:tc>
        <w:tc>
          <w:tcPr>
            <w:tcW w:w="2026"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42252349" w14:textId="77777777" w:rsidR="00A5676C" w:rsidRDefault="00000000">
            <w:pPr>
              <w:jc w:val="center"/>
            </w:pPr>
            <w:r>
              <w:rPr>
                <w:sz w:val="19"/>
                <w:szCs w:val="19"/>
              </w:rPr>
              <w:t>201,893</w:t>
            </w:r>
          </w:p>
        </w:tc>
      </w:tr>
      <w:tr w:rsidR="00A5676C" w14:paraId="4C884402" w14:textId="77777777">
        <w:tblPrEx>
          <w:tblCellMar>
            <w:top w:w="0" w:type="dxa"/>
            <w:bottom w:w="0" w:type="dxa"/>
          </w:tblCellMar>
        </w:tblPrEx>
        <w:trPr>
          <w:cantSplit/>
        </w:trPr>
        <w:tc>
          <w:tcPr>
            <w:tcW w:w="170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726CB013" w14:textId="77777777" w:rsidR="00A5676C" w:rsidRDefault="00A5676C"/>
        </w:tc>
        <w:tc>
          <w:tcPr>
            <w:tcW w:w="140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4EABAF54" w14:textId="77777777" w:rsidR="00A5676C" w:rsidRDefault="00000000">
            <w:pPr>
              <w:jc w:val="center"/>
            </w:pPr>
            <w:r>
              <w:rPr>
                <w:sz w:val="19"/>
                <w:szCs w:val="19"/>
              </w:rPr>
              <w:t>C</w:t>
            </w:r>
          </w:p>
        </w:tc>
        <w:tc>
          <w:tcPr>
            <w:tcW w:w="190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2B720F0C" w14:textId="77777777" w:rsidR="00A5676C" w:rsidRDefault="00000000">
            <w:pPr>
              <w:jc w:val="center"/>
            </w:pPr>
            <w:r>
              <w:rPr>
                <w:sz w:val="19"/>
                <w:szCs w:val="19"/>
              </w:rPr>
              <w:t>0.9</w:t>
            </w:r>
          </w:p>
        </w:tc>
        <w:tc>
          <w:tcPr>
            <w:tcW w:w="200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51B7F78E" w14:textId="77777777" w:rsidR="00A5676C" w:rsidRDefault="00000000">
            <w:pPr>
              <w:jc w:val="center"/>
            </w:pPr>
            <w:r>
              <w:rPr>
                <w:sz w:val="19"/>
                <w:szCs w:val="19"/>
              </w:rPr>
              <w:t>0.02</w:t>
            </w:r>
          </w:p>
        </w:tc>
        <w:tc>
          <w:tcPr>
            <w:tcW w:w="2026"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19A0E545" w14:textId="77777777" w:rsidR="00A5676C" w:rsidRDefault="00000000">
            <w:pPr>
              <w:jc w:val="center"/>
            </w:pPr>
            <w:r>
              <w:rPr>
                <w:sz w:val="19"/>
                <w:szCs w:val="19"/>
              </w:rPr>
              <w:t>94,251</w:t>
            </w:r>
          </w:p>
        </w:tc>
      </w:tr>
      <w:tr w:rsidR="00A5676C" w14:paraId="5CE19A46" w14:textId="77777777">
        <w:tblPrEx>
          <w:tblCellMar>
            <w:top w:w="0" w:type="dxa"/>
            <w:bottom w:w="0" w:type="dxa"/>
          </w:tblCellMar>
        </w:tblPrEx>
        <w:trPr>
          <w:cantSplit/>
        </w:trPr>
        <w:tc>
          <w:tcPr>
            <w:tcW w:w="170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22A5E68E" w14:textId="77777777" w:rsidR="00A5676C" w:rsidRDefault="00000000">
            <w:r>
              <w:rPr>
                <w:sz w:val="19"/>
                <w:szCs w:val="19"/>
              </w:rPr>
              <w:t>100,000</w:t>
            </w:r>
          </w:p>
        </w:tc>
        <w:tc>
          <w:tcPr>
            <w:tcW w:w="140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518AA9A8" w14:textId="77777777" w:rsidR="00A5676C" w:rsidRDefault="00000000">
            <w:pPr>
              <w:jc w:val="center"/>
            </w:pPr>
            <w:r>
              <w:rPr>
                <w:sz w:val="19"/>
                <w:szCs w:val="19"/>
              </w:rPr>
              <w:t>A</w:t>
            </w:r>
          </w:p>
        </w:tc>
        <w:tc>
          <w:tcPr>
            <w:tcW w:w="190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4F9B643A" w14:textId="77777777" w:rsidR="00A5676C" w:rsidRDefault="00000000">
            <w:pPr>
              <w:jc w:val="center"/>
            </w:pPr>
            <w:r>
              <w:rPr>
                <w:sz w:val="19"/>
                <w:szCs w:val="19"/>
              </w:rPr>
              <w:t>3.3</w:t>
            </w:r>
          </w:p>
        </w:tc>
        <w:tc>
          <w:tcPr>
            <w:tcW w:w="200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1760E8E1" w14:textId="77777777" w:rsidR="00A5676C" w:rsidRDefault="00000000">
            <w:pPr>
              <w:jc w:val="center"/>
            </w:pPr>
            <w:r>
              <w:rPr>
                <w:sz w:val="19"/>
                <w:szCs w:val="19"/>
              </w:rPr>
              <w:t>—</w:t>
            </w:r>
          </w:p>
        </w:tc>
        <w:tc>
          <w:tcPr>
            <w:tcW w:w="2026"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7BD2B11D" w14:textId="77777777" w:rsidR="00A5676C" w:rsidRDefault="00000000">
            <w:pPr>
              <w:jc w:val="center"/>
            </w:pPr>
            <w:r>
              <w:rPr>
                <w:sz w:val="19"/>
                <w:szCs w:val="19"/>
              </w:rPr>
              <w:t>635,162</w:t>
            </w:r>
          </w:p>
        </w:tc>
      </w:tr>
      <w:tr w:rsidR="00A5676C" w14:paraId="4D1C75E2" w14:textId="77777777">
        <w:tblPrEx>
          <w:tblCellMar>
            <w:top w:w="0" w:type="dxa"/>
            <w:bottom w:w="0" w:type="dxa"/>
          </w:tblCellMar>
        </w:tblPrEx>
        <w:trPr>
          <w:cantSplit/>
        </w:trPr>
        <w:tc>
          <w:tcPr>
            <w:tcW w:w="170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55E84945" w14:textId="77777777" w:rsidR="00A5676C" w:rsidRDefault="00A5676C"/>
        </w:tc>
        <w:tc>
          <w:tcPr>
            <w:tcW w:w="140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4B4FADBD" w14:textId="77777777" w:rsidR="00A5676C" w:rsidRDefault="00000000">
            <w:pPr>
              <w:jc w:val="center"/>
            </w:pPr>
            <w:r>
              <w:rPr>
                <w:sz w:val="19"/>
                <w:szCs w:val="19"/>
              </w:rPr>
              <w:t>B</w:t>
            </w:r>
          </w:p>
        </w:tc>
        <w:tc>
          <w:tcPr>
            <w:tcW w:w="190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4AC9050D" w14:textId="77777777" w:rsidR="00A5676C" w:rsidRDefault="00000000">
            <w:pPr>
              <w:jc w:val="center"/>
            </w:pPr>
            <w:r>
              <w:rPr>
                <w:sz w:val="19"/>
                <w:szCs w:val="19"/>
              </w:rPr>
              <w:t>7.0</w:t>
            </w:r>
          </w:p>
        </w:tc>
        <w:tc>
          <w:tcPr>
            <w:tcW w:w="200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1CD391F3" w14:textId="77777777" w:rsidR="00A5676C" w:rsidRDefault="00000000">
            <w:pPr>
              <w:jc w:val="center"/>
            </w:pPr>
            <w:r>
              <w:rPr>
                <w:sz w:val="19"/>
                <w:szCs w:val="19"/>
              </w:rPr>
              <w:t>0.15</w:t>
            </w:r>
          </w:p>
        </w:tc>
        <w:tc>
          <w:tcPr>
            <w:tcW w:w="2026"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7B92E307" w14:textId="77777777" w:rsidR="00A5676C" w:rsidRDefault="00000000">
            <w:pPr>
              <w:jc w:val="center"/>
            </w:pPr>
            <w:r>
              <w:rPr>
                <w:sz w:val="19"/>
                <w:szCs w:val="19"/>
              </w:rPr>
              <w:t>108,909</w:t>
            </w:r>
          </w:p>
        </w:tc>
      </w:tr>
      <w:tr w:rsidR="00A5676C" w14:paraId="23AFBF23" w14:textId="77777777">
        <w:tblPrEx>
          <w:tblCellMar>
            <w:top w:w="0" w:type="dxa"/>
            <w:bottom w:w="0" w:type="dxa"/>
          </w:tblCellMar>
        </w:tblPrEx>
        <w:trPr>
          <w:cantSplit/>
        </w:trPr>
        <w:tc>
          <w:tcPr>
            <w:tcW w:w="170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57E34022" w14:textId="77777777" w:rsidR="00A5676C" w:rsidRDefault="00A5676C"/>
        </w:tc>
        <w:tc>
          <w:tcPr>
            <w:tcW w:w="140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44203ACF" w14:textId="77777777" w:rsidR="00A5676C" w:rsidRDefault="00000000">
            <w:pPr>
              <w:jc w:val="center"/>
            </w:pPr>
            <w:r>
              <w:rPr>
                <w:sz w:val="19"/>
                <w:szCs w:val="19"/>
              </w:rPr>
              <w:t>C</w:t>
            </w:r>
          </w:p>
        </w:tc>
        <w:tc>
          <w:tcPr>
            <w:tcW w:w="190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237CE49A" w14:textId="77777777" w:rsidR="00A5676C" w:rsidRDefault="00000000">
            <w:pPr>
              <w:jc w:val="center"/>
            </w:pPr>
            <w:r>
              <w:rPr>
                <w:sz w:val="19"/>
                <w:szCs w:val="19"/>
              </w:rPr>
              <w:t>9.4</w:t>
            </w:r>
          </w:p>
        </w:tc>
        <w:tc>
          <w:tcPr>
            <w:tcW w:w="200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095AB3C7" w14:textId="77777777" w:rsidR="00A5676C" w:rsidRDefault="00000000">
            <w:pPr>
              <w:jc w:val="center"/>
            </w:pPr>
            <w:r>
              <w:rPr>
                <w:sz w:val="19"/>
                <w:szCs w:val="19"/>
              </w:rPr>
              <w:t>0.22</w:t>
            </w:r>
          </w:p>
        </w:tc>
        <w:tc>
          <w:tcPr>
            <w:tcW w:w="2026"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77AF85DF" w14:textId="77777777" w:rsidR="00A5676C" w:rsidRDefault="00000000">
            <w:pPr>
              <w:jc w:val="center"/>
            </w:pPr>
            <w:r>
              <w:rPr>
                <w:sz w:val="19"/>
                <w:szCs w:val="19"/>
              </w:rPr>
              <w:t>46,442</w:t>
            </w:r>
          </w:p>
        </w:tc>
      </w:tr>
      <w:tr w:rsidR="00A5676C" w14:paraId="5E71E574" w14:textId="77777777">
        <w:tblPrEx>
          <w:tblCellMar>
            <w:top w:w="0" w:type="dxa"/>
            <w:bottom w:w="0" w:type="dxa"/>
          </w:tblCellMar>
        </w:tblPrEx>
        <w:trPr>
          <w:cantSplit/>
        </w:trPr>
        <w:tc>
          <w:tcPr>
            <w:tcW w:w="170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284476C3" w14:textId="77777777" w:rsidR="00A5676C" w:rsidRDefault="00000000">
            <w:r>
              <w:rPr>
                <w:sz w:val="19"/>
                <w:szCs w:val="19"/>
              </w:rPr>
              <w:t>1,000,000</w:t>
            </w:r>
          </w:p>
        </w:tc>
        <w:tc>
          <w:tcPr>
            <w:tcW w:w="140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658CD088" w14:textId="77777777" w:rsidR="00A5676C" w:rsidRDefault="00000000">
            <w:pPr>
              <w:jc w:val="center"/>
            </w:pPr>
            <w:r>
              <w:rPr>
                <w:sz w:val="19"/>
                <w:szCs w:val="19"/>
              </w:rPr>
              <w:t>A</w:t>
            </w:r>
          </w:p>
        </w:tc>
        <w:tc>
          <w:tcPr>
            <w:tcW w:w="190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6628EC5D" w14:textId="77777777" w:rsidR="00A5676C" w:rsidRDefault="00000000">
            <w:pPr>
              <w:jc w:val="center"/>
            </w:pPr>
            <w:r>
              <w:rPr>
                <w:sz w:val="19"/>
                <w:szCs w:val="19"/>
              </w:rPr>
              <w:t>34.0</w:t>
            </w:r>
          </w:p>
        </w:tc>
        <w:tc>
          <w:tcPr>
            <w:tcW w:w="200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4B008865" w14:textId="77777777" w:rsidR="00A5676C" w:rsidRDefault="00000000">
            <w:pPr>
              <w:jc w:val="center"/>
            </w:pPr>
            <w:r>
              <w:rPr>
                <w:sz w:val="19"/>
                <w:szCs w:val="19"/>
              </w:rPr>
              <w:t>—</w:t>
            </w:r>
          </w:p>
        </w:tc>
        <w:tc>
          <w:tcPr>
            <w:tcW w:w="2026"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6E7D7802" w14:textId="77777777" w:rsidR="00A5676C" w:rsidRDefault="00000000">
            <w:pPr>
              <w:jc w:val="center"/>
            </w:pPr>
            <w:r>
              <w:rPr>
                <w:sz w:val="19"/>
                <w:szCs w:val="19"/>
              </w:rPr>
              <w:t>673,211</w:t>
            </w:r>
          </w:p>
        </w:tc>
      </w:tr>
      <w:tr w:rsidR="00A5676C" w14:paraId="74F78A61" w14:textId="77777777">
        <w:tblPrEx>
          <w:tblCellMar>
            <w:top w:w="0" w:type="dxa"/>
            <w:bottom w:w="0" w:type="dxa"/>
          </w:tblCellMar>
        </w:tblPrEx>
        <w:trPr>
          <w:cantSplit/>
        </w:trPr>
        <w:tc>
          <w:tcPr>
            <w:tcW w:w="170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527C6F60" w14:textId="77777777" w:rsidR="00A5676C" w:rsidRDefault="00A5676C"/>
        </w:tc>
        <w:tc>
          <w:tcPr>
            <w:tcW w:w="140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0AC9A6B8" w14:textId="77777777" w:rsidR="00A5676C" w:rsidRDefault="00000000">
            <w:pPr>
              <w:jc w:val="center"/>
            </w:pPr>
            <w:r>
              <w:rPr>
                <w:sz w:val="19"/>
                <w:szCs w:val="19"/>
              </w:rPr>
              <w:t>B</w:t>
            </w:r>
          </w:p>
        </w:tc>
        <w:tc>
          <w:tcPr>
            <w:tcW w:w="190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750DA972" w14:textId="77777777" w:rsidR="00A5676C" w:rsidRDefault="00000000">
            <w:pPr>
              <w:jc w:val="center"/>
            </w:pPr>
            <w:r>
              <w:rPr>
                <w:sz w:val="19"/>
                <w:szCs w:val="19"/>
              </w:rPr>
              <w:t>71.9</w:t>
            </w:r>
          </w:p>
        </w:tc>
        <w:tc>
          <w:tcPr>
            <w:tcW w:w="2000"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282A7AFE" w14:textId="77777777" w:rsidR="00A5676C" w:rsidRDefault="00000000">
            <w:pPr>
              <w:jc w:val="center"/>
            </w:pPr>
            <w:r>
              <w:rPr>
                <w:sz w:val="19"/>
                <w:szCs w:val="19"/>
              </w:rPr>
              <w:t>1.40</w:t>
            </w:r>
          </w:p>
        </w:tc>
        <w:tc>
          <w:tcPr>
            <w:tcW w:w="2026" w:type="dxa"/>
            <w:tcBorders>
              <w:top w:val="none" w:sz="0" w:space="0" w:color="FFFFFF"/>
              <w:left w:val="none" w:sz="0" w:space="0" w:color="FFFFFF"/>
              <w:bottom w:val="none" w:sz="0" w:space="0" w:color="FFFFFF"/>
              <w:right w:val="none" w:sz="0" w:space="0" w:color="FFFFFF"/>
            </w:tcBorders>
            <w:shd w:val="clear" w:color="auto" w:fill="FFFFFF"/>
            <w:tcMar>
              <w:top w:w="50" w:type="dxa"/>
              <w:left w:w="70" w:type="dxa"/>
              <w:bottom w:w="50" w:type="dxa"/>
              <w:right w:w="70" w:type="dxa"/>
            </w:tcMar>
          </w:tcPr>
          <w:p w14:paraId="00BD306E" w14:textId="77777777" w:rsidR="00A5676C" w:rsidRDefault="00000000">
            <w:pPr>
              <w:jc w:val="center"/>
            </w:pPr>
            <w:r>
              <w:rPr>
                <w:sz w:val="19"/>
                <w:szCs w:val="19"/>
              </w:rPr>
              <w:t>34,194</w:t>
            </w:r>
          </w:p>
        </w:tc>
      </w:tr>
      <w:tr w:rsidR="00A5676C" w14:paraId="485814FA" w14:textId="77777777">
        <w:tblPrEx>
          <w:tblCellMar>
            <w:top w:w="0" w:type="dxa"/>
            <w:bottom w:w="0" w:type="dxa"/>
          </w:tblCellMar>
        </w:tblPrEx>
        <w:trPr>
          <w:cantSplit/>
        </w:trPr>
        <w:tc>
          <w:tcPr>
            <w:tcW w:w="1700" w:type="dxa"/>
            <w:tcBorders>
              <w:top w:val="none" w:sz="0" w:space="0" w:color="FFFFFF"/>
              <w:left w:val="none" w:sz="0" w:space="0" w:color="FFFFFF"/>
              <w:bottom w:val="single" w:sz="8" w:space="0" w:color="000000"/>
              <w:right w:val="none" w:sz="0" w:space="0" w:color="FFFFFF"/>
            </w:tcBorders>
            <w:shd w:val="clear" w:color="auto" w:fill="FFFFFF"/>
            <w:tcMar>
              <w:top w:w="50" w:type="dxa"/>
              <w:left w:w="70" w:type="dxa"/>
              <w:bottom w:w="50" w:type="dxa"/>
              <w:right w:w="70" w:type="dxa"/>
            </w:tcMar>
          </w:tcPr>
          <w:p w14:paraId="5784A1B3" w14:textId="77777777" w:rsidR="00A5676C" w:rsidRDefault="00A5676C"/>
        </w:tc>
        <w:tc>
          <w:tcPr>
            <w:tcW w:w="1400" w:type="dxa"/>
            <w:tcBorders>
              <w:top w:val="none" w:sz="0" w:space="0" w:color="FFFFFF"/>
              <w:left w:val="none" w:sz="0" w:space="0" w:color="FFFFFF"/>
              <w:bottom w:val="single" w:sz="8" w:space="0" w:color="000000"/>
              <w:right w:val="none" w:sz="0" w:space="0" w:color="FFFFFF"/>
            </w:tcBorders>
            <w:shd w:val="clear" w:color="auto" w:fill="FFFFFF"/>
            <w:tcMar>
              <w:top w:w="50" w:type="dxa"/>
              <w:left w:w="70" w:type="dxa"/>
              <w:bottom w:w="50" w:type="dxa"/>
              <w:right w:w="70" w:type="dxa"/>
            </w:tcMar>
          </w:tcPr>
          <w:p w14:paraId="163C3C27" w14:textId="77777777" w:rsidR="00A5676C" w:rsidRDefault="00000000">
            <w:pPr>
              <w:jc w:val="center"/>
            </w:pPr>
            <w:r>
              <w:rPr>
                <w:sz w:val="19"/>
                <w:szCs w:val="19"/>
              </w:rPr>
              <w:t>C</w:t>
            </w:r>
          </w:p>
        </w:tc>
        <w:tc>
          <w:tcPr>
            <w:tcW w:w="1900" w:type="dxa"/>
            <w:tcBorders>
              <w:top w:val="none" w:sz="0" w:space="0" w:color="FFFFFF"/>
              <w:left w:val="none" w:sz="0" w:space="0" w:color="FFFFFF"/>
              <w:bottom w:val="single" w:sz="8" w:space="0" w:color="000000"/>
              <w:right w:val="none" w:sz="0" w:space="0" w:color="FFFFFF"/>
            </w:tcBorders>
            <w:shd w:val="clear" w:color="auto" w:fill="FFFFFF"/>
            <w:tcMar>
              <w:top w:w="50" w:type="dxa"/>
              <w:left w:w="70" w:type="dxa"/>
              <w:bottom w:w="50" w:type="dxa"/>
              <w:right w:w="70" w:type="dxa"/>
            </w:tcMar>
          </w:tcPr>
          <w:p w14:paraId="1FDC5BC4" w14:textId="77777777" w:rsidR="00A5676C" w:rsidRDefault="00000000">
            <w:pPr>
              <w:jc w:val="center"/>
            </w:pPr>
            <w:r>
              <w:rPr>
                <w:sz w:val="19"/>
                <w:szCs w:val="19"/>
              </w:rPr>
              <w:t>95.7</w:t>
            </w:r>
          </w:p>
        </w:tc>
        <w:tc>
          <w:tcPr>
            <w:tcW w:w="2000" w:type="dxa"/>
            <w:tcBorders>
              <w:top w:val="none" w:sz="0" w:space="0" w:color="FFFFFF"/>
              <w:left w:val="none" w:sz="0" w:space="0" w:color="FFFFFF"/>
              <w:bottom w:val="single" w:sz="8" w:space="0" w:color="000000"/>
              <w:right w:val="none" w:sz="0" w:space="0" w:color="FFFFFF"/>
            </w:tcBorders>
            <w:shd w:val="clear" w:color="auto" w:fill="FFFFFF"/>
            <w:tcMar>
              <w:top w:w="50" w:type="dxa"/>
              <w:left w:w="70" w:type="dxa"/>
              <w:bottom w:w="50" w:type="dxa"/>
              <w:right w:w="70" w:type="dxa"/>
            </w:tcMar>
          </w:tcPr>
          <w:p w14:paraId="63B93F80" w14:textId="77777777" w:rsidR="00A5676C" w:rsidRDefault="00000000">
            <w:pPr>
              <w:jc w:val="center"/>
            </w:pPr>
            <w:r>
              <w:rPr>
                <w:sz w:val="19"/>
                <w:szCs w:val="19"/>
              </w:rPr>
              <w:t>2.45</w:t>
            </w:r>
          </w:p>
        </w:tc>
        <w:tc>
          <w:tcPr>
            <w:tcW w:w="2026" w:type="dxa"/>
            <w:tcBorders>
              <w:top w:val="none" w:sz="0" w:space="0" w:color="FFFFFF"/>
              <w:left w:val="none" w:sz="0" w:space="0" w:color="FFFFFF"/>
              <w:bottom w:val="single" w:sz="8" w:space="0" w:color="000000"/>
              <w:right w:val="none" w:sz="0" w:space="0" w:color="FFFFFF"/>
            </w:tcBorders>
            <w:shd w:val="clear" w:color="auto" w:fill="FFFFFF"/>
            <w:tcMar>
              <w:top w:w="50" w:type="dxa"/>
              <w:left w:w="70" w:type="dxa"/>
              <w:bottom w:w="50" w:type="dxa"/>
              <w:right w:w="70" w:type="dxa"/>
            </w:tcMar>
          </w:tcPr>
          <w:p w14:paraId="54C5EE69" w14:textId="77777777" w:rsidR="00A5676C" w:rsidRDefault="00000000">
            <w:pPr>
              <w:jc w:val="center"/>
            </w:pPr>
            <w:r>
              <w:rPr>
                <w:sz w:val="19"/>
                <w:szCs w:val="19"/>
              </w:rPr>
              <w:t>16,572</w:t>
            </w:r>
          </w:p>
        </w:tc>
      </w:tr>
    </w:tbl>
    <w:p w14:paraId="762984B2" w14:textId="77777777" w:rsidR="00A5676C" w:rsidRDefault="00A5676C">
      <w:pPr>
        <w:spacing w:after="60" w:line="276" w:lineRule="auto"/>
        <w:jc w:val="both"/>
      </w:pPr>
    </w:p>
    <w:p w14:paraId="31D4A49D" w14:textId="77777777" w:rsidR="00A5676C" w:rsidRDefault="00000000">
      <w:pPr>
        <w:spacing w:after="120" w:line="276" w:lineRule="auto"/>
        <w:jc w:val="both"/>
      </w:pPr>
      <w:r>
        <w:t xml:space="preserve">Write throughput was affected much more strongly than storage. With no secondary index, inserting 5,000 rows ran at roughly 627,000 to 673,000 rows/s regardless of table size. With single-column indexes throughput fell to about 202,000 rows/s at 10⁴ rows, 109,000 at 10⁵, and 34,000 at 10⁶, and with composite indexes to 94,000, 46,000, and 17,000 rows/s. At one million rows this is a drop of about 20 times for B and about 41 times for C. Because the indexed columns hold random values, each insert </w:t>
      </w:r>
      <w:r>
        <w:lastRenderedPageBreak/>
        <w:t>touches different parts of several B-trees, and at the largest size those trees are probably larger than SQLite's default page cache, which would explain why the penalty grows with table size. We did not vary the cache size, so this explanation remains a hypothesis.</w:t>
      </w:r>
    </w:p>
    <w:p w14:paraId="45BBEFEE" w14:textId="77777777" w:rsidR="00A5676C" w:rsidRDefault="00000000">
      <w:pPr>
        <w:pStyle w:val="Heading1"/>
        <w:keepNext/>
      </w:pPr>
      <w:r>
        <w:t>4. Discussion</w:t>
      </w:r>
    </w:p>
    <w:p w14:paraId="55F04F95" w14:textId="77777777" w:rsidR="00A5676C" w:rsidRDefault="00000000">
      <w:pPr>
        <w:pStyle w:val="Heading2"/>
        <w:keepNext/>
      </w:pPr>
      <w:r>
        <w:t>4.1 Practical implications</w:t>
      </w:r>
    </w:p>
    <w:p w14:paraId="7F29E3F6" w14:textId="77777777" w:rsidR="00A5676C" w:rsidRDefault="00000000">
      <w:pPr>
        <w:spacing w:after="120" w:line="276" w:lineRule="auto"/>
        <w:jc w:val="both"/>
      </w:pPr>
      <w:r>
        <w:t>The main lesson is that an index helps in proportion to how well it matches a query. A single-column index is enough for equality lookups on a selective column. It is much less effective for a range that returns many rows and then needs more columns from the table, which is the situation in Q2 at large sizes. There, adding the projected column to the index turned a modest improvement into a large one. For queries that filter on an equality column and a range column, a composite index with the equality column first is the natural choice, as Q3 shows. These observations agree with the general guidance in the SQLite documentation on how the query planner uses indexes (SQLite Consortium, n.d.), and the plans we captured make the mechanism visible.</w:t>
      </w:r>
    </w:p>
    <w:p w14:paraId="051B5699" w14:textId="77777777" w:rsidR="00A5676C" w:rsidRDefault="00000000">
      <w:pPr>
        <w:spacing w:after="120" w:line="276" w:lineRule="auto"/>
        <w:jc w:val="both"/>
      </w:pPr>
      <w:r>
        <w:t>The costs are equally important. A read-mostly application with a large table gains a great deal from composite indexes, whereas an application that ingests data continuously may find a 20- to 40-fold drop in insert rate unacceptable. Our single-transaction batches are favorable to writes, so single-row transactions would show the penalty differently. In practice the choice should come from a measured workload, and indexes that no query uses should be removed.</w:t>
      </w:r>
    </w:p>
    <w:p w14:paraId="04D5D35F" w14:textId="77777777" w:rsidR="00A5676C" w:rsidRDefault="00000000">
      <w:pPr>
        <w:pStyle w:val="Heading2"/>
        <w:keepNext/>
      </w:pPr>
      <w:r>
        <w:t>4.2 Threats to validity</w:t>
      </w:r>
    </w:p>
    <w:p w14:paraId="1A1AA84C" w14:textId="77777777" w:rsidR="00A5676C" w:rsidRDefault="00000000">
      <w:pPr>
        <w:spacing w:after="120" w:line="276" w:lineRule="auto"/>
        <w:jc w:val="both"/>
      </w:pPr>
      <w:r>
        <w:t>Several limitations apply. The data are uniform and synthetic, so skewed distributions, which are common in real systems, could change selectivity and plan choices. Only one machine and one SQLite version were used, and the virtual machine's disk and CPU sharing may add noise, although medians over repeated runs reduce its influence (Jain, 1991). The workload contains five queries and no updates or deletes, and we did not vary the page cache, journal mode, or synchronization setting. Index configurations were fixed by hand and not searched exhaustively; for Q4 in particular, an index on (created_at, customer_id) might have covered the query, but we did not test this. Finally, we did not apply statistical tests, and the figures describe the measured medians only.</w:t>
      </w:r>
    </w:p>
    <w:p w14:paraId="0BB73BB6" w14:textId="77777777" w:rsidR="00A5676C" w:rsidRDefault="00000000">
      <w:pPr>
        <w:pStyle w:val="Heading1"/>
        <w:keepNext/>
      </w:pPr>
      <w:r>
        <w:t>5. Conclusion</w:t>
      </w:r>
    </w:p>
    <w:p w14:paraId="0F7A6F44" w14:textId="77777777" w:rsidR="00A5676C" w:rsidRDefault="00000000">
      <w:pPr>
        <w:spacing w:after="120" w:line="276" w:lineRule="auto"/>
        <w:jc w:val="both"/>
      </w:pPr>
      <w:r>
        <w:t>In a controlled SQLite benchmark with up to one million rows, secondary indexes reduced the latency of selective queries by more than three orders of magnitude, and the benefit grew with table size. The type of index mattered: single-column indexes gave only a 1.3-fold improvement for a wide range aggregation, while a covering composite index gave 26.6 times, and a composite index with an equality prefix gave 127 times on a multi-predicate query. The join query gained about four times regardless of the design. The cost side was equally clear, with up to 2.8 times larger files and insert throughput that fell by about 20 to 41 times at one million rows. Index design should therefore be driven by the actual mix of reads and writes, and it should be checked with query plans and measurements rather than assumed. Future work should test skewed data, additional index types such as partial and expression indexes, other engines, and mixed read-write workloads.</w:t>
      </w:r>
    </w:p>
    <w:p w14:paraId="670B3561" w14:textId="77777777" w:rsidR="00A5676C" w:rsidRDefault="00000000">
      <w:pPr>
        <w:pStyle w:val="Heading1"/>
        <w:keepNext/>
      </w:pPr>
      <w:r>
        <w:t>Data Availability</w:t>
      </w:r>
    </w:p>
    <w:p w14:paraId="340BB47D" w14:textId="77777777" w:rsidR="00A5676C" w:rsidRDefault="00000000">
      <w:pPr>
        <w:spacing w:after="120" w:line="276" w:lineRule="auto"/>
        <w:jc w:val="both"/>
      </w:pPr>
      <w:r>
        <w:t>The data are synthetic and generated with fixed random seeds (data seed 1, query seed 99). The schema, index definitions, and queries are fully described in Section 2, so the experiment can be reproduced with the Python standard library and SQLite.</w:t>
      </w:r>
    </w:p>
    <w:p w14:paraId="4017E89E" w14:textId="77777777" w:rsidR="00A5676C" w:rsidRDefault="00000000">
      <w:pPr>
        <w:pStyle w:val="Heading1"/>
        <w:keepNext/>
      </w:pPr>
      <w:r>
        <w:lastRenderedPageBreak/>
        <w:t>References</w:t>
      </w:r>
    </w:p>
    <w:p w14:paraId="7043BAA1" w14:textId="77777777" w:rsidR="00A5676C" w:rsidRDefault="00000000">
      <w:pPr>
        <w:spacing w:after="100" w:line="264" w:lineRule="auto"/>
        <w:ind w:left="567" w:hanging="567"/>
      </w:pPr>
      <w:r>
        <w:t xml:space="preserve">Bayer, R., &amp; McCreight, E. (1972). Organization and maintenance of large ordered indexes. </w:t>
      </w:r>
      <w:r>
        <w:rPr>
          <w:i/>
          <w:iCs/>
        </w:rPr>
        <w:t>Acta Informatica, 1</w:t>
      </w:r>
      <w:r>
        <w:t>(3), 173–189. https://doi.org/10.1007/BF00288683</w:t>
      </w:r>
    </w:p>
    <w:p w14:paraId="715BAC65" w14:textId="77777777" w:rsidR="00A5676C" w:rsidRDefault="00000000">
      <w:pPr>
        <w:spacing w:after="100" w:line="264" w:lineRule="auto"/>
        <w:ind w:left="567" w:hanging="567"/>
      </w:pPr>
      <w:r>
        <w:t xml:space="preserve">Chaudhuri, S., &amp; Narasayya, V. R. (1997). An efficient cost-driven index selection tool for Microsoft SQL Server. In </w:t>
      </w:r>
      <w:r>
        <w:rPr>
          <w:i/>
          <w:iCs/>
        </w:rPr>
        <w:t>Proceedings of the 23rd International Conference on Very Large Data Bases</w:t>
      </w:r>
      <w:r>
        <w:t xml:space="preserve"> (pp. 146–155). Morgan Kaufmann.</w:t>
      </w:r>
    </w:p>
    <w:p w14:paraId="64F18CE9" w14:textId="77777777" w:rsidR="00A5676C" w:rsidRDefault="00000000">
      <w:pPr>
        <w:spacing w:after="100" w:line="264" w:lineRule="auto"/>
        <w:ind w:left="567" w:hanging="567"/>
      </w:pPr>
      <w:r>
        <w:t xml:space="preserve">Comer, D. (1979). The ubiquitous B-tree. </w:t>
      </w:r>
      <w:r>
        <w:rPr>
          <w:i/>
          <w:iCs/>
        </w:rPr>
        <w:t>ACM Computing Surveys, 11</w:t>
      </w:r>
      <w:r>
        <w:t>(2), 121–137. https://doi.org/10.1145/356770.356776</w:t>
      </w:r>
    </w:p>
    <w:p w14:paraId="21B7A7FB" w14:textId="77777777" w:rsidR="00A5676C" w:rsidRDefault="00000000">
      <w:pPr>
        <w:spacing w:after="100" w:line="264" w:lineRule="auto"/>
        <w:ind w:left="567" w:hanging="567"/>
      </w:pPr>
      <w:r>
        <w:t xml:space="preserve">Gaffney, K. P., Prammer, M., Brasfield, L., Hipp, D. R., Kennedy, D., &amp; Patel, J. M. (2022). SQLite: Past, present, and future. </w:t>
      </w:r>
      <w:r>
        <w:rPr>
          <w:i/>
          <w:iCs/>
        </w:rPr>
        <w:t>Proceedings of the VLDB Endowment, 15</w:t>
      </w:r>
      <w:r>
        <w:t>(12), 3535–3547. https://doi.org/10.14778/3554821.3554842</w:t>
      </w:r>
    </w:p>
    <w:p w14:paraId="1DB3F9CA" w14:textId="77777777" w:rsidR="00A5676C" w:rsidRDefault="00000000">
      <w:pPr>
        <w:spacing w:after="100" w:line="264" w:lineRule="auto"/>
        <w:ind w:left="567" w:hanging="567"/>
      </w:pPr>
      <w:r>
        <w:t xml:space="preserve">Graefe, G. (2011). Modern B-tree techniques. </w:t>
      </w:r>
      <w:r>
        <w:rPr>
          <w:i/>
          <w:iCs/>
        </w:rPr>
        <w:t>Foundations and Trends in Databases, 3</w:t>
      </w:r>
      <w:r>
        <w:t>(4), 203–402. https://doi.org/10.1561/1900000028</w:t>
      </w:r>
    </w:p>
    <w:p w14:paraId="1C82774D" w14:textId="77777777" w:rsidR="00A5676C" w:rsidRDefault="00000000">
      <w:pPr>
        <w:spacing w:after="100" w:line="264" w:lineRule="auto"/>
        <w:ind w:left="567" w:hanging="567"/>
      </w:pPr>
      <w:r>
        <w:t xml:space="preserve">Jain, R. (1991). </w:t>
      </w:r>
      <w:r>
        <w:rPr>
          <w:i/>
          <w:iCs/>
        </w:rPr>
        <w:t>The art of computer systems performance analysis: Techniques for experimental design, measurement, simulation, and modeling</w:t>
      </w:r>
      <w:r>
        <w:t>. John Wiley &amp; Sons.</w:t>
      </w:r>
    </w:p>
    <w:p w14:paraId="5427924C" w14:textId="77777777" w:rsidR="00A5676C" w:rsidRDefault="00000000">
      <w:pPr>
        <w:spacing w:after="100" w:line="264" w:lineRule="auto"/>
        <w:ind w:left="567" w:hanging="567"/>
      </w:pPr>
      <w:r>
        <w:t xml:space="preserve">Kraska, T., Beutel, A., Chi, E. H., Dean, J., &amp; Polyzotis, N. (2018). The case for learned index structures. In </w:t>
      </w:r>
      <w:r>
        <w:rPr>
          <w:i/>
          <w:iCs/>
        </w:rPr>
        <w:t>Proceedings of the 2018 International Conference on Management of Data</w:t>
      </w:r>
      <w:r>
        <w:t xml:space="preserve"> (pp. 489–504). ACM. https://doi.org/10.1145/3183713.3196909</w:t>
      </w:r>
    </w:p>
    <w:p w14:paraId="0D2458D6" w14:textId="77777777" w:rsidR="00A5676C" w:rsidRDefault="00000000">
      <w:pPr>
        <w:spacing w:after="100" w:line="264" w:lineRule="auto"/>
        <w:ind w:left="567" w:hanging="567"/>
      </w:pPr>
      <w:r>
        <w:t xml:space="preserve">Selinger, P. G., Astrahan, M. M., Chamberlin, D. D., Lorie, R. A., &amp; Price, T. G. (1979). Access path selection in a relational database management system. In </w:t>
      </w:r>
      <w:r>
        <w:rPr>
          <w:i/>
          <w:iCs/>
        </w:rPr>
        <w:t>Proceedings of the 1979 ACM SIGMOD International Conference on Management of Data</w:t>
      </w:r>
      <w:r>
        <w:t xml:space="preserve"> (pp. 23–34). ACM. https://doi.org/10.1145/582095.582099</w:t>
      </w:r>
    </w:p>
    <w:p w14:paraId="4670BA72" w14:textId="77777777" w:rsidR="00A5676C" w:rsidRDefault="00000000">
      <w:pPr>
        <w:spacing w:after="100" w:line="264" w:lineRule="auto"/>
        <w:ind w:left="567" w:hanging="567"/>
      </w:pPr>
      <w:r>
        <w:t xml:space="preserve">SQLite Consortium. (n.d.). </w:t>
      </w:r>
      <w:r>
        <w:rPr>
          <w:i/>
          <w:iCs/>
        </w:rPr>
        <w:t>The SQLite query optimizer overview</w:t>
      </w:r>
      <w:r>
        <w:t>. https://www.sqlite.org/optoverview.html</w:t>
      </w:r>
    </w:p>
    <w:sectPr w:rsidR="00A5676C">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673E7" w14:textId="77777777" w:rsidR="006116AD" w:rsidRDefault="006116AD">
      <w:r>
        <w:separator/>
      </w:r>
    </w:p>
  </w:endnote>
  <w:endnote w:type="continuationSeparator" w:id="0">
    <w:p w14:paraId="129727C4" w14:textId="77777777" w:rsidR="006116AD" w:rsidRDefault="006116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1919B" w14:textId="77777777" w:rsidR="00A5676C" w:rsidRDefault="00000000">
    <w:pPr>
      <w:jc w:val="center"/>
    </w:pPr>
    <w:r>
      <w:rPr>
        <w:sz w:val="20"/>
        <w:szCs w:val="20"/>
      </w:rPr>
      <w:fldChar w:fldCharType="begin"/>
    </w:r>
    <w:r>
      <w:rPr>
        <w:sz w:val="20"/>
        <w:szCs w:val="20"/>
      </w:rPr>
      <w:instrText>PAGE</w:instrText>
    </w:r>
    <w:r>
      <w:rPr>
        <w:sz w:val="20"/>
        <w:szCs w:val="20"/>
      </w:rPr>
      <w:fldChar w:fldCharType="separate"/>
    </w:r>
    <w:r w:rsidR="00130CAE">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62918" w14:textId="77777777" w:rsidR="006116AD" w:rsidRDefault="006116AD">
      <w:r>
        <w:separator/>
      </w:r>
    </w:p>
  </w:footnote>
  <w:footnote w:type="continuationSeparator" w:id="0">
    <w:p w14:paraId="7975D132" w14:textId="77777777" w:rsidR="006116AD" w:rsidRDefault="006116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3B5E1F"/>
    <w:multiLevelType w:val="hybridMultilevel"/>
    <w:tmpl w:val="37203E94"/>
    <w:lvl w:ilvl="0" w:tplc="3CFCE870">
      <w:start w:val="1"/>
      <w:numFmt w:val="bullet"/>
      <w:lvlText w:val="●"/>
      <w:lvlJc w:val="left"/>
      <w:pPr>
        <w:ind w:left="720" w:hanging="360"/>
      </w:pPr>
    </w:lvl>
    <w:lvl w:ilvl="1" w:tplc="A412F22E">
      <w:start w:val="1"/>
      <w:numFmt w:val="bullet"/>
      <w:lvlText w:val="○"/>
      <w:lvlJc w:val="left"/>
      <w:pPr>
        <w:ind w:left="1440" w:hanging="360"/>
      </w:pPr>
    </w:lvl>
    <w:lvl w:ilvl="2" w:tplc="7E6680DA">
      <w:start w:val="1"/>
      <w:numFmt w:val="bullet"/>
      <w:lvlText w:val="■"/>
      <w:lvlJc w:val="left"/>
      <w:pPr>
        <w:ind w:left="2160" w:hanging="360"/>
      </w:pPr>
    </w:lvl>
    <w:lvl w:ilvl="3" w:tplc="9954B006">
      <w:start w:val="1"/>
      <w:numFmt w:val="bullet"/>
      <w:lvlText w:val="●"/>
      <w:lvlJc w:val="left"/>
      <w:pPr>
        <w:ind w:left="2880" w:hanging="360"/>
      </w:pPr>
    </w:lvl>
    <w:lvl w:ilvl="4" w:tplc="89C03030">
      <w:start w:val="1"/>
      <w:numFmt w:val="bullet"/>
      <w:lvlText w:val="○"/>
      <w:lvlJc w:val="left"/>
      <w:pPr>
        <w:ind w:left="3600" w:hanging="360"/>
      </w:pPr>
    </w:lvl>
    <w:lvl w:ilvl="5" w:tplc="2424C0DA">
      <w:start w:val="1"/>
      <w:numFmt w:val="bullet"/>
      <w:lvlText w:val="■"/>
      <w:lvlJc w:val="left"/>
      <w:pPr>
        <w:ind w:left="4320" w:hanging="360"/>
      </w:pPr>
    </w:lvl>
    <w:lvl w:ilvl="6" w:tplc="EAA665FC">
      <w:start w:val="1"/>
      <w:numFmt w:val="bullet"/>
      <w:lvlText w:val="●"/>
      <w:lvlJc w:val="left"/>
      <w:pPr>
        <w:ind w:left="5040" w:hanging="360"/>
      </w:pPr>
    </w:lvl>
    <w:lvl w:ilvl="7" w:tplc="13F4B63C">
      <w:start w:val="1"/>
      <w:numFmt w:val="bullet"/>
      <w:lvlText w:val="●"/>
      <w:lvlJc w:val="left"/>
      <w:pPr>
        <w:ind w:left="5760" w:hanging="360"/>
      </w:pPr>
    </w:lvl>
    <w:lvl w:ilvl="8" w:tplc="B052DFA6">
      <w:start w:val="1"/>
      <w:numFmt w:val="bullet"/>
      <w:lvlText w:val="●"/>
      <w:lvlJc w:val="left"/>
      <w:pPr>
        <w:ind w:left="6480" w:hanging="360"/>
      </w:pPr>
    </w:lvl>
  </w:abstractNum>
  <w:num w:numId="1" w16cid:durableId="84655819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76C"/>
    <w:rsid w:val="00130CAE"/>
    <w:rsid w:val="005D3EBD"/>
    <w:rsid w:val="006116AD"/>
    <w:rsid w:val="00A5676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2AAC5"/>
  <w15:docId w15:val="{6781B647-7151-4B9F-9DA7-C74AC1A1A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20"/>
      <w:outlineLvl w:val="0"/>
    </w:pPr>
    <w:rPr>
      <w:b/>
      <w:bCs/>
      <w:sz w:val="24"/>
      <w:szCs w:val="24"/>
    </w:rPr>
  </w:style>
  <w:style w:type="paragraph" w:styleId="Heading2">
    <w:name w:val="heading 2"/>
    <w:uiPriority w:val="9"/>
    <w:unhideWhenUsed/>
    <w:qFormat/>
    <w:pPr>
      <w:spacing w:before="200" w:after="100"/>
      <w:outlineLvl w:val="1"/>
    </w:pPr>
    <w:rPr>
      <w:b/>
      <w:bCs/>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2484</Words>
  <Characters>14160</Characters>
  <Application>Microsoft Office Word</Application>
  <DocSecurity>0</DocSecurity>
  <Lines>118</Lines>
  <Paragraphs>33</Paragraphs>
  <ScaleCrop>false</ScaleCrop>
  <Company/>
  <LinksUpToDate>false</LinksUpToDate>
  <CharactersWithSpaces>16611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Effect of Index Design on Query Latency, Storage Overhead, and Write Throughput in SQLite</dc:title>
  <dc:creator>Author</dc:creator>
  <cp:lastModifiedBy>Agus Andri Putra</cp:lastModifiedBy>
  <cp:revision>2</cp:revision>
  <dcterms:created xsi:type="dcterms:W3CDTF">2026-10-18T07:42:00Z</dcterms:created>
  <dcterms:modified xsi:type="dcterms:W3CDTF">2026-10-18T08:06:00Z</dcterms:modified>
</cp:coreProperties>
</file>